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082E0" w14:textId="1E8A7A3D" w:rsidR="0034512A" w:rsidRPr="004248BC" w:rsidRDefault="0034512A" w:rsidP="0034512A">
      <w:pPr>
        <w:pStyle w:val="3GPPHeader"/>
        <w:spacing w:after="60"/>
        <w:rPr>
          <w:rFonts w:ascii="Times New Roman" w:hAnsi="Times New Roman" w:cs="Times New Roman"/>
          <w:sz w:val="32"/>
          <w:szCs w:val="32"/>
        </w:rPr>
      </w:pPr>
      <w:r w:rsidRPr="004248BC">
        <w:rPr>
          <w:rFonts w:ascii="Times New Roman" w:hAnsi="Times New Roman" w:cs="Times New Roman"/>
        </w:rPr>
        <w:t>3GPP TSG-RAN WG1 Meeting #92bis</w:t>
      </w:r>
      <w:r w:rsidRPr="004248BC">
        <w:rPr>
          <w:rFonts w:ascii="Times New Roman" w:hAnsi="Times New Roman" w:cs="Times New Roman"/>
        </w:rPr>
        <w:tab/>
      </w:r>
      <w:r w:rsidR="00B34F09" w:rsidRPr="00B34F09">
        <w:rPr>
          <w:rFonts w:ascii="Times New Roman" w:hAnsi="Times New Roman" w:cs="Times New Roman"/>
          <w:sz w:val="32"/>
          <w:szCs w:val="32"/>
        </w:rPr>
        <w:t>R1-1804166</w:t>
      </w:r>
    </w:p>
    <w:p w14:paraId="30AFDADB" w14:textId="7CE98DE8" w:rsidR="0054286D" w:rsidRPr="004248BC" w:rsidRDefault="0034512A" w:rsidP="0034512A">
      <w:pPr>
        <w:pStyle w:val="3GPPHeader"/>
        <w:rPr>
          <w:rFonts w:ascii="Times New Roman" w:hAnsi="Times New Roman" w:cs="Times New Roman"/>
        </w:rPr>
      </w:pPr>
      <w:r w:rsidRPr="004248BC">
        <w:rPr>
          <w:rFonts w:ascii="Times New Roman" w:hAnsi="Times New Roman" w:cs="Times New Roman"/>
        </w:rPr>
        <w:t>Sanya, People’s Republic of China 16</w:t>
      </w:r>
      <w:r w:rsidRPr="004248BC">
        <w:rPr>
          <w:rFonts w:ascii="Times New Roman" w:hAnsi="Times New Roman" w:cs="Times New Roman"/>
          <w:vertAlign w:val="superscript"/>
        </w:rPr>
        <w:t>th</w:t>
      </w:r>
      <w:r w:rsidRPr="004248BC">
        <w:rPr>
          <w:rFonts w:ascii="Times New Roman" w:hAnsi="Times New Roman" w:cs="Times New Roman"/>
        </w:rPr>
        <w:t xml:space="preserve"> Feb – 20</w:t>
      </w:r>
      <w:r w:rsidRPr="004248BC">
        <w:rPr>
          <w:rFonts w:ascii="Times New Roman" w:hAnsi="Times New Roman" w:cs="Times New Roman"/>
          <w:vertAlign w:val="superscript"/>
        </w:rPr>
        <w:t>th</w:t>
      </w:r>
      <w:r w:rsidRPr="004248BC">
        <w:rPr>
          <w:rFonts w:ascii="Times New Roman" w:hAnsi="Times New Roman" w:cs="Times New Roman"/>
        </w:rPr>
        <w:t xml:space="preserve"> April 2018</w:t>
      </w:r>
    </w:p>
    <w:p w14:paraId="656BD48E" w14:textId="77777777" w:rsidR="0054286D" w:rsidRPr="004248BC" w:rsidRDefault="0054286D" w:rsidP="0054286D">
      <w:pPr>
        <w:pStyle w:val="3GPPHeader"/>
        <w:rPr>
          <w:rFonts w:ascii="Times New Roman" w:hAnsi="Times New Roman" w:cs="Times New Roman"/>
        </w:rPr>
      </w:pPr>
    </w:p>
    <w:p w14:paraId="74C632FC" w14:textId="6431A616" w:rsidR="0054286D" w:rsidRPr="00B34F09" w:rsidRDefault="0054286D" w:rsidP="0054286D">
      <w:pPr>
        <w:pStyle w:val="3GPPHeader"/>
        <w:rPr>
          <w:rFonts w:ascii="Times New Roman" w:hAnsi="Times New Roman" w:cs="Times New Roman"/>
          <w:sz w:val="22"/>
        </w:rPr>
      </w:pPr>
      <w:r w:rsidRPr="00B34F09">
        <w:rPr>
          <w:rFonts w:ascii="Times New Roman" w:hAnsi="Times New Roman" w:cs="Times New Roman"/>
          <w:sz w:val="22"/>
        </w:rPr>
        <w:t>Agenda Item:</w:t>
      </w:r>
      <w:r w:rsidRPr="00B34F09">
        <w:rPr>
          <w:rFonts w:ascii="Times New Roman" w:hAnsi="Times New Roman" w:cs="Times New Roman"/>
          <w:sz w:val="22"/>
        </w:rPr>
        <w:tab/>
      </w:r>
      <w:r w:rsidR="00B34F09" w:rsidRPr="00B34F09">
        <w:rPr>
          <w:rFonts w:ascii="Times New Roman" w:hAnsi="Times New Roman" w:cs="Times New Roman"/>
          <w:sz w:val="22"/>
        </w:rPr>
        <w:t>6</w:t>
      </w:r>
      <w:r w:rsidR="00B34F09">
        <w:rPr>
          <w:rFonts w:ascii="Times New Roman" w:hAnsi="Times New Roman" w:cs="Times New Roman"/>
          <w:sz w:val="22"/>
        </w:rPr>
        <w:t>.2.7.6.3</w:t>
      </w:r>
    </w:p>
    <w:p w14:paraId="729EE0DC" w14:textId="77777777" w:rsidR="0054286D" w:rsidRPr="004248BC" w:rsidRDefault="0054286D" w:rsidP="0054286D">
      <w:pPr>
        <w:pStyle w:val="3GPPHeader"/>
        <w:rPr>
          <w:rFonts w:ascii="Times New Roman" w:hAnsi="Times New Roman" w:cs="Times New Roman"/>
          <w:sz w:val="22"/>
        </w:rPr>
      </w:pPr>
      <w:r w:rsidRPr="004248BC">
        <w:rPr>
          <w:rFonts w:ascii="Times New Roman" w:hAnsi="Times New Roman" w:cs="Times New Roman"/>
          <w:sz w:val="22"/>
        </w:rPr>
        <w:t xml:space="preserve">Source: </w:t>
      </w:r>
      <w:r w:rsidRPr="004248BC">
        <w:rPr>
          <w:rFonts w:ascii="Times New Roman" w:hAnsi="Times New Roman" w:cs="Times New Roman"/>
          <w:sz w:val="22"/>
        </w:rPr>
        <w:tab/>
        <w:t>Ericsson</w:t>
      </w:r>
    </w:p>
    <w:p w14:paraId="542546BD" w14:textId="6F1936FD" w:rsidR="0054286D" w:rsidRPr="004248BC" w:rsidRDefault="0054286D" w:rsidP="0054286D">
      <w:pPr>
        <w:pStyle w:val="3GPPHeader"/>
        <w:ind w:left="1695" w:hanging="1695"/>
        <w:rPr>
          <w:rFonts w:ascii="Times New Roman" w:hAnsi="Times New Roman" w:cs="Times New Roman"/>
          <w:sz w:val="22"/>
        </w:rPr>
      </w:pPr>
      <w:r w:rsidRPr="004248BC">
        <w:rPr>
          <w:rFonts w:ascii="Times New Roman" w:hAnsi="Times New Roman" w:cs="Times New Roman"/>
          <w:sz w:val="22"/>
        </w:rPr>
        <w:t xml:space="preserve">Title:  </w:t>
      </w:r>
      <w:r w:rsidRPr="004248BC">
        <w:rPr>
          <w:rFonts w:ascii="Times New Roman" w:hAnsi="Times New Roman" w:cs="Times New Roman"/>
          <w:sz w:val="22"/>
        </w:rPr>
        <w:tab/>
      </w:r>
      <w:r w:rsidR="001F7F88" w:rsidRPr="004248BC">
        <w:rPr>
          <w:rFonts w:ascii="Times New Roman" w:hAnsi="Times New Roman" w:cs="Times New Roman"/>
          <w:sz w:val="22"/>
        </w:rPr>
        <w:t>DL/UL common aspects of</w:t>
      </w:r>
      <w:r w:rsidR="001A2EEC" w:rsidRPr="004248BC">
        <w:rPr>
          <w:rFonts w:ascii="Times New Roman" w:hAnsi="Times New Roman" w:cs="Times New Roman"/>
          <w:sz w:val="22"/>
        </w:rPr>
        <w:t xml:space="preserve"> TDD for NB-IoT</w:t>
      </w:r>
    </w:p>
    <w:p w14:paraId="3517B360" w14:textId="77777777" w:rsidR="0054286D" w:rsidRPr="004248BC" w:rsidRDefault="0054286D" w:rsidP="0054286D">
      <w:pPr>
        <w:pStyle w:val="3GPPHeader"/>
        <w:rPr>
          <w:rFonts w:ascii="Times New Roman" w:hAnsi="Times New Roman" w:cs="Times New Roman"/>
          <w:sz w:val="22"/>
        </w:rPr>
      </w:pPr>
      <w:r w:rsidRPr="004248BC">
        <w:rPr>
          <w:rFonts w:ascii="Times New Roman" w:hAnsi="Times New Roman" w:cs="Times New Roman"/>
          <w:sz w:val="22"/>
        </w:rPr>
        <w:t>Document for:</w:t>
      </w:r>
      <w:r w:rsidRPr="004248BC">
        <w:rPr>
          <w:rFonts w:ascii="Times New Roman" w:hAnsi="Times New Roman" w:cs="Times New Roman"/>
          <w:sz w:val="22"/>
        </w:rPr>
        <w:tab/>
        <w:t>Discussion and Decision</w:t>
      </w:r>
    </w:p>
    <w:p w14:paraId="6949473C" w14:textId="77777777" w:rsidR="0054286D" w:rsidRPr="004248BC" w:rsidRDefault="0054286D" w:rsidP="0054286D">
      <w:pPr>
        <w:pStyle w:val="Heading1"/>
        <w:rPr>
          <w:rFonts w:ascii="Times New Roman" w:hAnsi="Times New Roman" w:cs="Times New Roman"/>
          <w:lang w:val="en-US"/>
        </w:rPr>
      </w:pPr>
      <w:r w:rsidRPr="004248BC">
        <w:rPr>
          <w:rFonts w:ascii="Times New Roman" w:hAnsi="Times New Roman" w:cs="Times New Roman"/>
          <w:lang w:val="en-US"/>
        </w:rPr>
        <w:t>Introduction</w:t>
      </w:r>
    </w:p>
    <w:p w14:paraId="3B3EAF13" w14:textId="77777777" w:rsidR="0054286D" w:rsidRPr="00B35C7D" w:rsidRDefault="0054286D" w:rsidP="00F405EF">
      <w:pPr>
        <w:jc w:val="both"/>
        <w:rPr>
          <w:rFonts w:ascii="Times New Roman" w:hAnsi="Times New Roman" w:cs="Times New Roman"/>
          <w:sz w:val="20"/>
          <w:szCs w:val="20"/>
        </w:rPr>
      </w:pPr>
      <w:r w:rsidRPr="00B35C7D">
        <w:rPr>
          <w:rFonts w:ascii="Times New Roman" w:hAnsi="Times New Roman" w:cs="Times New Roman"/>
          <w:sz w:val="20"/>
          <w:szCs w:val="20"/>
        </w:rPr>
        <w:t xml:space="preserve">According with the Work Item Description (WID) on further NB-IoT enhancements [1], revised in [2] and recently in [3] (text in a different font colour), one of the objectives refers to work on the support of the TDD operation into NB-IoT, which commenced from RAN #76. </w:t>
      </w:r>
    </w:p>
    <w:p w14:paraId="6ECF436B" w14:textId="77777777" w:rsidR="0054286D" w:rsidRPr="00B35C7D" w:rsidRDefault="0054286D" w:rsidP="0054286D">
      <w:pPr>
        <w:ind w:left="567"/>
        <w:rPr>
          <w:rFonts w:ascii="Times New Roman" w:hAnsi="Times New Roman" w:cs="Times New Roman"/>
          <w:b/>
          <w:bCs/>
          <w:sz w:val="20"/>
          <w:szCs w:val="20"/>
        </w:rPr>
      </w:pPr>
      <w:r w:rsidRPr="00B35C7D">
        <w:rPr>
          <w:rFonts w:ascii="Times New Roman" w:hAnsi="Times New Roman" w:cs="Times New Roman"/>
          <w:b/>
          <w:bCs/>
          <w:sz w:val="20"/>
          <w:szCs w:val="20"/>
        </w:rPr>
        <w:t>B. Work on the following objective to commence from RAN#76</w:t>
      </w:r>
    </w:p>
    <w:p w14:paraId="205A3FB5" w14:textId="77777777" w:rsidR="0054286D" w:rsidRPr="00B35C7D" w:rsidRDefault="0054286D" w:rsidP="0054286D">
      <w:pPr>
        <w:spacing w:after="0"/>
        <w:ind w:left="567"/>
        <w:rPr>
          <w:rFonts w:ascii="Times New Roman" w:hAnsi="Times New Roman" w:cs="Times New Roman"/>
          <w:bCs/>
          <w:sz w:val="20"/>
          <w:szCs w:val="20"/>
          <w:u w:val="single"/>
        </w:rPr>
      </w:pPr>
      <w:r w:rsidRPr="00B35C7D">
        <w:rPr>
          <w:rFonts w:ascii="Times New Roman" w:hAnsi="Times New Roman" w:cs="Times New Roman"/>
          <w:b/>
          <w:bCs/>
          <w:sz w:val="20"/>
          <w:szCs w:val="20"/>
          <w:u w:val="single"/>
        </w:rPr>
        <w:t>Support for TDD [RAN1, RAN2, RAN4]</w:t>
      </w:r>
    </w:p>
    <w:p w14:paraId="414AC285" w14:textId="77777777" w:rsidR="0054286D" w:rsidRPr="00B35C7D" w:rsidRDefault="0054286D" w:rsidP="0054286D">
      <w:pPr>
        <w:spacing w:after="0"/>
        <w:ind w:left="567"/>
        <w:rPr>
          <w:rFonts w:ascii="Times New Roman" w:hAnsi="Times New Roman" w:cs="Times New Roman"/>
          <w:bCs/>
          <w:sz w:val="20"/>
          <w:szCs w:val="20"/>
        </w:rPr>
      </w:pPr>
    </w:p>
    <w:p w14:paraId="6C1531E5" w14:textId="77777777" w:rsidR="0054286D" w:rsidRPr="00B35C7D" w:rsidRDefault="0054286D" w:rsidP="0054286D">
      <w:pPr>
        <w:spacing w:after="0"/>
        <w:ind w:left="567"/>
        <w:rPr>
          <w:rFonts w:ascii="Times New Roman" w:hAnsi="Times New Roman" w:cs="Times New Roman"/>
          <w:bCs/>
          <w:sz w:val="20"/>
          <w:szCs w:val="20"/>
        </w:rPr>
      </w:pPr>
      <w:r w:rsidRPr="00B35C7D">
        <w:rPr>
          <w:rFonts w:ascii="Times New Roman" w:hAnsi="Times New Roman" w:cs="Times New Roman"/>
          <w:bCs/>
          <w:sz w:val="20"/>
          <w:szCs w:val="20"/>
        </w:rPr>
        <w:t xml:space="preserve">Specify TDD support for in-band, guard-band, and standalone operation modes of NB-IoT. The design shall assume no UL compensation gaps are needed by UE, and strive towards a common design among the deployment modes. </w:t>
      </w:r>
    </w:p>
    <w:p w14:paraId="04280645" w14:textId="77777777" w:rsidR="0054286D" w:rsidRPr="00B35C7D"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Relaxations of MCL and/or latency and/or capacity targets to be considered by RAN1.</w:t>
      </w:r>
    </w:p>
    <w:p w14:paraId="0E854416" w14:textId="77777777" w:rsidR="0054286D" w:rsidRPr="00B35C7D"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Baseline is to support the same features as Rel-13 NB-IoT, additionally considering small-cells scenarios.</w:t>
      </w:r>
    </w:p>
    <w:p w14:paraId="2991AA41" w14:textId="77777777" w:rsidR="0054286D" w:rsidRPr="00B35C7D"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In addition to the baseline, support the following:</w:t>
      </w:r>
    </w:p>
    <w:p w14:paraId="543D442C" w14:textId="77777777" w:rsidR="0054286D" w:rsidRPr="00B35C7D"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Based on Rel-14 FDD designs:</w:t>
      </w:r>
    </w:p>
    <w:p w14:paraId="4D6D2D8A" w14:textId="77777777" w:rsidR="0054286D" w:rsidRPr="00B35C7D"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OTDOA positioning using Rel-14 NPRS RE patterns and sequences. Subframe configurations Part A and Part B shall be used with necessary amendments, if any.</w:t>
      </w:r>
    </w:p>
    <w:p w14:paraId="7078F400" w14:textId="77777777" w:rsidR="0054286D" w:rsidRPr="00B35C7D"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Non-anchor carrier operation for paging and random access</w:t>
      </w:r>
    </w:p>
    <w:p w14:paraId="6B35A147" w14:textId="77777777" w:rsidR="0054286D" w:rsidRPr="00B35C7D"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UE category NB2, with the same TBS table as FDD, and support for 1 and 2 UL/DL HARQ processes. The support of 2 UL/DL HARQ processes by UE is an optional capability available to Cat NB2, i.e. same way as FDD.</w:t>
      </w:r>
    </w:p>
    <w:p w14:paraId="0379159C" w14:textId="77777777" w:rsidR="0054286D" w:rsidRPr="00B35C7D"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Non-anchor carrier operation for system information (MIB-NB and any SIB-NB) can be considered.</w:t>
      </w:r>
    </w:p>
    <w:p w14:paraId="573EBC0A" w14:textId="77777777" w:rsidR="0054286D" w:rsidRPr="00B35C7D"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sz w:val="20"/>
          <w:szCs w:val="20"/>
        </w:rPr>
      </w:pPr>
      <w:r w:rsidRPr="00B35C7D">
        <w:rPr>
          <w:rFonts w:ascii="Times New Roman" w:hAnsi="Times New Roman" w:cs="Times New Roman"/>
          <w:bCs/>
          <w:sz w:val="20"/>
          <w:szCs w:val="20"/>
        </w:rPr>
        <w:t>Specify band specific requirements for band 41.</w:t>
      </w:r>
    </w:p>
    <w:p w14:paraId="1CC0B895" w14:textId="77777777" w:rsidR="0054286D" w:rsidRPr="00B35C7D" w:rsidRDefault="0054286D" w:rsidP="0054286D">
      <w:pPr>
        <w:spacing w:after="0"/>
        <w:ind w:left="720"/>
        <w:rPr>
          <w:rFonts w:ascii="Times New Roman" w:hAnsi="Times New Roman" w:cs="Times New Roman"/>
          <w:bCs/>
          <w:sz w:val="20"/>
          <w:szCs w:val="20"/>
        </w:rPr>
      </w:pPr>
    </w:p>
    <w:p w14:paraId="2875E3A7" w14:textId="0414397D" w:rsidR="0054286D" w:rsidRPr="00B35C7D" w:rsidRDefault="001453CC" w:rsidP="00064B4B">
      <w:pPr>
        <w:spacing w:after="180"/>
        <w:ind w:right="-99"/>
        <w:jc w:val="both"/>
        <w:rPr>
          <w:rFonts w:ascii="Times New Roman" w:hAnsi="Times New Roman" w:cs="Times New Roman"/>
          <w:sz w:val="20"/>
          <w:szCs w:val="20"/>
        </w:rPr>
      </w:pPr>
      <w:r w:rsidRPr="00B35C7D">
        <w:rPr>
          <w:rFonts w:ascii="Times New Roman" w:hAnsi="Times New Roman" w:cs="Times New Roman"/>
          <w:sz w:val="20"/>
          <w:szCs w:val="20"/>
        </w:rPr>
        <w:t xml:space="preserve">This contribution deals with common aspects for the support of TDD NB-IoT, </w:t>
      </w:r>
      <w:r w:rsidR="00042E87" w:rsidRPr="00B35C7D">
        <w:rPr>
          <w:rFonts w:ascii="Times New Roman" w:hAnsi="Times New Roman" w:cs="Times New Roman"/>
          <w:sz w:val="20"/>
          <w:szCs w:val="20"/>
        </w:rPr>
        <w:t xml:space="preserve">continuing the discussions on </w:t>
      </w:r>
      <w:r w:rsidR="00845452" w:rsidRPr="00B35C7D">
        <w:rPr>
          <w:rFonts w:ascii="Times New Roman" w:hAnsi="Times New Roman" w:cs="Times New Roman"/>
          <w:sz w:val="20"/>
          <w:szCs w:val="20"/>
        </w:rPr>
        <w:t xml:space="preserve">remaining aspects about the better suitability of certain </w:t>
      </w:r>
      <w:r w:rsidR="00042E87" w:rsidRPr="00B35C7D">
        <w:rPr>
          <w:rFonts w:ascii="Times New Roman" w:hAnsi="Times New Roman" w:cs="Times New Roman"/>
          <w:sz w:val="20"/>
          <w:szCs w:val="20"/>
        </w:rPr>
        <w:t>LTE TDD configurations</w:t>
      </w:r>
      <w:r w:rsidR="00845452" w:rsidRPr="00B35C7D">
        <w:rPr>
          <w:rFonts w:ascii="Times New Roman" w:hAnsi="Times New Roman" w:cs="Times New Roman"/>
          <w:sz w:val="20"/>
          <w:szCs w:val="20"/>
        </w:rPr>
        <w:t>,</w:t>
      </w:r>
      <w:r w:rsidR="00042E87" w:rsidRPr="00B35C7D">
        <w:rPr>
          <w:rFonts w:ascii="Times New Roman" w:hAnsi="Times New Roman" w:cs="Times New Roman"/>
          <w:sz w:val="20"/>
          <w:szCs w:val="20"/>
        </w:rPr>
        <w:t xml:space="preserve"> </w:t>
      </w:r>
      <w:bookmarkStart w:id="0" w:name="_Hlk509568204"/>
      <w:r w:rsidR="00845452" w:rsidRPr="00B35C7D">
        <w:rPr>
          <w:rFonts w:ascii="Times New Roman" w:hAnsi="Times New Roman" w:cs="Times New Roman"/>
          <w:sz w:val="20"/>
          <w:szCs w:val="20"/>
        </w:rPr>
        <w:t xml:space="preserve">MCL relaxations and capacity targets, the scheduling delay for TDD NB-IoT, </w:t>
      </w:r>
      <w:bookmarkEnd w:id="0"/>
      <w:r w:rsidR="00845452" w:rsidRPr="00B35C7D">
        <w:rPr>
          <w:rFonts w:ascii="Times New Roman" w:hAnsi="Times New Roman" w:cs="Times New Roman"/>
          <w:sz w:val="20"/>
          <w:szCs w:val="20"/>
        </w:rPr>
        <w:t>and cross-carrier scheduling</w:t>
      </w:r>
      <w:r w:rsidR="0054286D" w:rsidRPr="00B35C7D">
        <w:rPr>
          <w:rFonts w:ascii="Times New Roman" w:hAnsi="Times New Roman" w:cs="Times New Roman"/>
          <w:sz w:val="20"/>
          <w:szCs w:val="20"/>
        </w:rPr>
        <w:t>.</w:t>
      </w:r>
    </w:p>
    <w:p w14:paraId="2E1386C1" w14:textId="77777777" w:rsidR="00BA0384" w:rsidRPr="007E09B9" w:rsidRDefault="00BA0384" w:rsidP="00BA0384">
      <w:pPr>
        <w:pStyle w:val="Heading1"/>
        <w:jc w:val="both"/>
        <w:rPr>
          <w:rFonts w:ascii="Times New Roman" w:hAnsi="Times New Roman" w:cs="Times New Roman"/>
        </w:rPr>
      </w:pPr>
      <w:r w:rsidRPr="007E09B9">
        <w:rPr>
          <w:rFonts w:ascii="Times New Roman" w:hAnsi="Times New Roman" w:cs="Times New Roman"/>
        </w:rPr>
        <w:t>Background</w:t>
      </w:r>
    </w:p>
    <w:p w14:paraId="5913C1EF" w14:textId="7F0605B0" w:rsidR="00042E87" w:rsidRPr="00B35C7D" w:rsidRDefault="00042E87" w:rsidP="00042E87">
      <w:pPr>
        <w:jc w:val="both"/>
        <w:rPr>
          <w:rFonts w:ascii="Times New Roman" w:hAnsi="Times New Roman" w:cs="Times New Roman"/>
          <w:bCs/>
          <w:sz w:val="20"/>
          <w:szCs w:val="20"/>
        </w:rPr>
      </w:pPr>
      <w:r w:rsidRPr="00B35C7D">
        <w:rPr>
          <w:rFonts w:ascii="Times New Roman" w:hAnsi="Times New Roman" w:cs="Times New Roman"/>
          <w:bCs/>
          <w:sz w:val="20"/>
          <w:szCs w:val="20"/>
        </w:rPr>
        <w:t>In RAN1 #</w:t>
      </w:r>
      <w:r w:rsidR="00E008AF" w:rsidRPr="00B35C7D">
        <w:rPr>
          <w:rFonts w:ascii="Times New Roman" w:hAnsi="Times New Roman" w:cs="Times New Roman"/>
          <w:bCs/>
          <w:sz w:val="20"/>
          <w:szCs w:val="20"/>
        </w:rPr>
        <w:t>92</w:t>
      </w:r>
      <w:r w:rsidRPr="00B35C7D">
        <w:rPr>
          <w:rFonts w:ascii="Times New Roman" w:hAnsi="Times New Roman" w:cs="Times New Roman"/>
          <w:bCs/>
          <w:sz w:val="20"/>
          <w:szCs w:val="20"/>
        </w:rPr>
        <w:t xml:space="preserve">, the TSG RAN WG1 </w:t>
      </w:r>
      <w:r w:rsidR="00E008AF" w:rsidRPr="00B35C7D">
        <w:rPr>
          <w:rFonts w:ascii="Times New Roman" w:hAnsi="Times New Roman" w:cs="Times New Roman"/>
          <w:bCs/>
          <w:sz w:val="20"/>
          <w:szCs w:val="20"/>
        </w:rPr>
        <w:t>reached the following agreements on Common aspects for TDD NB-IoT</w:t>
      </w:r>
      <w:r w:rsidRPr="00B35C7D">
        <w:rPr>
          <w:rFonts w:ascii="Times New Roman" w:hAnsi="Times New Roman" w:cs="Times New Roman"/>
          <w:bCs/>
          <w:sz w:val="20"/>
          <w:szCs w:val="20"/>
        </w:rPr>
        <w:t xml:space="preserve"> [</w:t>
      </w:r>
      <w:r w:rsidR="000B495A">
        <w:rPr>
          <w:rFonts w:ascii="Times New Roman" w:hAnsi="Times New Roman" w:cs="Times New Roman"/>
          <w:bCs/>
          <w:sz w:val="20"/>
          <w:szCs w:val="20"/>
        </w:rPr>
        <w:t>4</w:t>
      </w:r>
      <w:r w:rsidRPr="00B35C7D">
        <w:rPr>
          <w:rFonts w:ascii="Times New Roman" w:hAnsi="Times New Roman" w:cs="Times New Roman"/>
          <w:bCs/>
          <w:sz w:val="20"/>
          <w:szCs w:val="20"/>
        </w:rPr>
        <w:t>].</w:t>
      </w:r>
    </w:p>
    <w:tbl>
      <w:tblPr>
        <w:tblStyle w:val="TableGrid"/>
        <w:tblW w:w="0" w:type="auto"/>
        <w:tblLook w:val="04A0" w:firstRow="1" w:lastRow="0" w:firstColumn="1" w:lastColumn="0" w:noHBand="0" w:noVBand="1"/>
      </w:tblPr>
      <w:tblGrid>
        <w:gridCol w:w="9629"/>
      </w:tblGrid>
      <w:tr w:rsidR="00E008AF" w:rsidRPr="007B7000" w14:paraId="08D8E040" w14:textId="77777777" w:rsidTr="00E008AF">
        <w:tc>
          <w:tcPr>
            <w:tcW w:w="9629" w:type="dxa"/>
          </w:tcPr>
          <w:p w14:paraId="04D675FF"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lang w:val="en-GB" w:eastAsia="ja-JP"/>
              </w:rPr>
              <w:t xml:space="preserve">Conclusion: </w:t>
            </w:r>
          </w:p>
          <w:p w14:paraId="327970F5"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lang w:val="en-GB" w:eastAsia="ja-JP"/>
              </w:rPr>
              <w:t>Revisit the working assumption about TDD UL/DL configuration 6 once the TDD design as a whole is more advanced.</w:t>
            </w:r>
          </w:p>
          <w:p w14:paraId="77EF3F1E" w14:textId="77777777" w:rsidR="00E008AF" w:rsidRPr="007E09B9" w:rsidRDefault="00E008AF" w:rsidP="00E008AF">
            <w:pPr>
              <w:spacing w:after="0" w:line="240" w:lineRule="auto"/>
              <w:ind w:left="720" w:hanging="720"/>
              <w:rPr>
                <w:rFonts w:ascii="Times New Roman" w:eastAsia="Batang" w:hAnsi="Times New Roman" w:cs="Times New Roman"/>
                <w:sz w:val="20"/>
                <w:szCs w:val="24"/>
                <w:lang w:val="en-GB" w:eastAsia="x-none"/>
              </w:rPr>
            </w:pPr>
          </w:p>
          <w:p w14:paraId="3055531E"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highlight w:val="green"/>
                <w:lang w:val="en-GB" w:eastAsia="ja-JP"/>
              </w:rPr>
              <w:t>Agreement</w:t>
            </w:r>
          </w:p>
          <w:p w14:paraId="54626B0E"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eastAsia="ja-JP"/>
              </w:rPr>
            </w:pPr>
            <w:r w:rsidRPr="007E09B9">
              <w:rPr>
                <w:rFonts w:ascii="Times New Roman" w:eastAsia="Yu Mincho" w:hAnsi="Times New Roman" w:cs="Times New Roman"/>
                <w:sz w:val="20"/>
                <w:szCs w:val="20"/>
                <w:lang w:eastAsia="ja-JP"/>
              </w:rPr>
              <w:t>UL/DL configuration and the special subframe configuration are indicated via SIB1-NB.</w:t>
            </w:r>
          </w:p>
          <w:p w14:paraId="5EB1EB06" w14:textId="77777777" w:rsidR="00E008AF" w:rsidRPr="007E09B9" w:rsidRDefault="00E008AF" w:rsidP="00E008AF">
            <w:pPr>
              <w:spacing w:after="0" w:line="240" w:lineRule="auto"/>
              <w:ind w:left="720" w:hanging="720"/>
              <w:rPr>
                <w:rFonts w:ascii="Times New Roman" w:eastAsia="Batang" w:hAnsi="Times New Roman" w:cs="Times New Roman"/>
                <w:sz w:val="20"/>
                <w:szCs w:val="24"/>
                <w:lang w:val="en-GB" w:eastAsia="x-none"/>
              </w:rPr>
            </w:pPr>
          </w:p>
          <w:p w14:paraId="6A923771"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r w:rsidRPr="007E09B9">
              <w:rPr>
                <w:rFonts w:ascii="Times New Roman" w:eastAsia="Yu Mincho" w:hAnsi="Times New Roman" w:cs="Times New Roman"/>
                <w:sz w:val="20"/>
                <w:szCs w:val="24"/>
                <w:highlight w:val="green"/>
                <w:lang w:val="en-GB" w:eastAsia="ja-JP"/>
              </w:rPr>
              <w:t>Agreement</w:t>
            </w:r>
          </w:p>
          <w:p w14:paraId="0665EA55" w14:textId="77777777" w:rsidR="00E008AF" w:rsidRPr="00B35C7D" w:rsidRDefault="00E008AF" w:rsidP="00E008AF">
            <w:pPr>
              <w:numPr>
                <w:ilvl w:val="0"/>
                <w:numId w:val="34"/>
              </w:numPr>
              <w:spacing w:after="0" w:line="360" w:lineRule="auto"/>
              <w:ind w:left="1440"/>
              <w:rPr>
                <w:rFonts w:ascii="Times New Roman" w:eastAsia="Batang" w:hAnsi="Times New Roman" w:cs="Times New Roman"/>
                <w:bCs/>
                <w:iCs/>
                <w:sz w:val="20"/>
                <w:szCs w:val="20"/>
              </w:rPr>
            </w:pPr>
            <w:r w:rsidRPr="00B35C7D">
              <w:rPr>
                <w:rFonts w:ascii="Times New Roman" w:eastAsia="Batang" w:hAnsi="Times New Roman" w:cs="Times New Roman"/>
                <w:bCs/>
                <w:iCs/>
                <w:sz w:val="20"/>
                <w:szCs w:val="20"/>
              </w:rPr>
              <w:lastRenderedPageBreak/>
              <w:t>For standalone mode, at least the same UL/DL configurations as TDD NB-IoT in-band/guard-band are supported. FFS new UL/DL configurations in standalone.</w:t>
            </w:r>
          </w:p>
          <w:p w14:paraId="0EDB7129"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p>
          <w:p w14:paraId="1390E0CD"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r w:rsidRPr="007E09B9">
              <w:rPr>
                <w:rFonts w:ascii="Times New Roman" w:eastAsia="Yu Mincho" w:hAnsi="Times New Roman" w:cs="Times New Roman"/>
                <w:sz w:val="20"/>
                <w:szCs w:val="24"/>
                <w:highlight w:val="green"/>
                <w:lang w:val="en-GB" w:eastAsia="ja-JP"/>
              </w:rPr>
              <w:t>Agreement</w:t>
            </w:r>
          </w:p>
          <w:p w14:paraId="380CE713" w14:textId="77777777" w:rsidR="00E008AF" w:rsidRPr="00B35C7D" w:rsidRDefault="00E008AF" w:rsidP="00E008AF">
            <w:pPr>
              <w:numPr>
                <w:ilvl w:val="0"/>
                <w:numId w:val="35"/>
              </w:numPr>
              <w:spacing w:after="0" w:line="240" w:lineRule="auto"/>
              <w:rPr>
                <w:rFonts w:ascii="Times New Roman" w:eastAsia="Batang" w:hAnsi="Times New Roman" w:cs="Times New Roman"/>
                <w:sz w:val="20"/>
                <w:szCs w:val="20"/>
              </w:rPr>
            </w:pPr>
            <w:r w:rsidRPr="00B35C7D">
              <w:rPr>
                <w:rFonts w:ascii="Times New Roman" w:eastAsia="Batang" w:hAnsi="Times New Roman" w:cs="Times New Roman"/>
                <w:sz w:val="20"/>
                <w:szCs w:val="20"/>
              </w:rPr>
              <w:t>Confirm the following working assumption as agreement.</w:t>
            </w:r>
          </w:p>
          <w:p w14:paraId="62098C22" w14:textId="77777777" w:rsidR="00E008AF" w:rsidRPr="00B35C7D" w:rsidRDefault="00E008AF" w:rsidP="00E008AF">
            <w:pPr>
              <w:numPr>
                <w:ilvl w:val="1"/>
                <w:numId w:val="35"/>
              </w:numPr>
              <w:spacing w:after="0" w:line="240" w:lineRule="auto"/>
              <w:rPr>
                <w:rFonts w:ascii="Times New Roman" w:eastAsia="Batang" w:hAnsi="Times New Roman" w:cs="Times New Roman"/>
                <w:sz w:val="20"/>
                <w:szCs w:val="20"/>
              </w:rPr>
            </w:pPr>
            <w:r w:rsidRPr="00B35C7D">
              <w:rPr>
                <w:rFonts w:ascii="Times New Roman" w:eastAsia="Batang" w:hAnsi="Times New Roman" w:cs="Times New Roman"/>
                <w:sz w:val="20"/>
                <w:szCs w:val="20"/>
              </w:rPr>
              <w:t>TDD NB-IoT will support all LTE special subframe configurations</w:t>
            </w:r>
          </w:p>
          <w:p w14:paraId="2351D217" w14:textId="77777777" w:rsidR="00E008AF" w:rsidRPr="00B35C7D" w:rsidRDefault="00E008AF" w:rsidP="00E008AF">
            <w:pPr>
              <w:numPr>
                <w:ilvl w:val="0"/>
                <w:numId w:val="35"/>
              </w:numPr>
              <w:spacing w:after="0" w:line="240" w:lineRule="auto"/>
              <w:rPr>
                <w:rFonts w:ascii="Times New Roman" w:eastAsia="Batang" w:hAnsi="Times New Roman" w:cs="Times New Roman"/>
                <w:sz w:val="20"/>
                <w:szCs w:val="20"/>
              </w:rPr>
            </w:pPr>
            <w:r w:rsidRPr="00B35C7D">
              <w:rPr>
                <w:rFonts w:ascii="Times New Roman" w:eastAsia="Batang" w:hAnsi="Times New Roman" w:cs="Times New Roman"/>
                <w:sz w:val="20"/>
                <w:szCs w:val="20"/>
              </w:rPr>
              <w:t xml:space="preserve">FFS CRS-less special subframe configuration 10 is supported  </w:t>
            </w:r>
          </w:p>
          <w:p w14:paraId="14F578C0" w14:textId="77777777" w:rsidR="00E008AF" w:rsidRPr="00B35C7D" w:rsidRDefault="00E008AF" w:rsidP="00E008AF">
            <w:pPr>
              <w:numPr>
                <w:ilvl w:val="0"/>
                <w:numId w:val="35"/>
              </w:numPr>
              <w:spacing w:after="0" w:line="240" w:lineRule="auto"/>
              <w:rPr>
                <w:rFonts w:ascii="Times New Roman" w:eastAsia="Batang" w:hAnsi="Times New Roman" w:cs="Times New Roman"/>
                <w:sz w:val="20"/>
                <w:szCs w:val="20"/>
                <w:lang w:val="en-GB"/>
              </w:rPr>
            </w:pPr>
            <w:r w:rsidRPr="00B35C7D">
              <w:rPr>
                <w:rFonts w:ascii="Times New Roman" w:eastAsia="Batang" w:hAnsi="Times New Roman" w:cs="Times New Roman"/>
                <w:sz w:val="20"/>
                <w:szCs w:val="20"/>
                <w:lang w:val="en-GB"/>
              </w:rPr>
              <w:t>For in-band</w:t>
            </w:r>
          </w:p>
          <w:p w14:paraId="282620AA" w14:textId="77777777" w:rsidR="00E008AF" w:rsidRPr="00B35C7D" w:rsidRDefault="00E008AF" w:rsidP="00E008AF">
            <w:pPr>
              <w:numPr>
                <w:ilvl w:val="1"/>
                <w:numId w:val="35"/>
              </w:numPr>
              <w:spacing w:after="0" w:line="240" w:lineRule="auto"/>
              <w:rPr>
                <w:rFonts w:ascii="Times New Roman" w:eastAsia="Batang" w:hAnsi="Times New Roman" w:cs="Times New Roman"/>
                <w:sz w:val="20"/>
                <w:szCs w:val="20"/>
                <w:lang w:val="en-GB"/>
              </w:rPr>
            </w:pPr>
            <w:r w:rsidRPr="00B35C7D">
              <w:rPr>
                <w:rFonts w:ascii="Times New Roman" w:eastAsia="Batang" w:hAnsi="Times New Roman" w:cs="Times New Roman"/>
                <w:sz w:val="20"/>
                <w:szCs w:val="20"/>
                <w:lang w:val="en-GB"/>
              </w:rPr>
              <w:t>UpPTS is not used for NPUSCH and NPRACH</w:t>
            </w:r>
          </w:p>
          <w:p w14:paraId="59BFD51A" w14:textId="77777777" w:rsidR="00E008AF" w:rsidRPr="00B35C7D" w:rsidRDefault="00E008AF" w:rsidP="00E008AF">
            <w:pPr>
              <w:numPr>
                <w:ilvl w:val="0"/>
                <w:numId w:val="35"/>
              </w:numPr>
              <w:spacing w:after="0" w:line="240" w:lineRule="auto"/>
              <w:rPr>
                <w:rFonts w:ascii="Times New Roman" w:eastAsia="Batang" w:hAnsi="Times New Roman" w:cs="Times New Roman"/>
                <w:sz w:val="20"/>
                <w:szCs w:val="20"/>
                <w:lang w:val="en-GB"/>
              </w:rPr>
            </w:pPr>
            <w:r w:rsidRPr="00B35C7D">
              <w:rPr>
                <w:rFonts w:ascii="Times New Roman" w:eastAsia="Batang" w:hAnsi="Times New Roman" w:cs="Times New Roman"/>
                <w:sz w:val="20"/>
                <w:szCs w:val="20"/>
                <w:lang w:val="en-GB"/>
              </w:rPr>
              <w:t>For standalone and guard-band</w:t>
            </w:r>
          </w:p>
          <w:p w14:paraId="2F5F1AE4" w14:textId="77777777" w:rsidR="00E008AF" w:rsidRPr="007E09B9" w:rsidRDefault="00E008AF" w:rsidP="00E008AF">
            <w:pPr>
              <w:numPr>
                <w:ilvl w:val="1"/>
                <w:numId w:val="35"/>
              </w:numPr>
              <w:spacing w:after="0" w:line="240" w:lineRule="auto"/>
              <w:rPr>
                <w:rFonts w:ascii="Times New Roman" w:eastAsia="Batang" w:hAnsi="Times New Roman" w:cs="Times New Roman"/>
                <w:bCs/>
                <w:iCs/>
                <w:sz w:val="20"/>
                <w:szCs w:val="20"/>
                <w:lang w:val="en-GB"/>
              </w:rPr>
            </w:pPr>
            <w:r w:rsidRPr="007E09B9">
              <w:rPr>
                <w:rFonts w:ascii="Times New Roman" w:eastAsia="Batang" w:hAnsi="Times New Roman" w:cs="Times New Roman"/>
                <w:bCs/>
                <w:iCs/>
                <w:sz w:val="20"/>
                <w:szCs w:val="20"/>
                <w:lang w:val="en-GB"/>
              </w:rPr>
              <w:t>In the LTE special subframe configurations, UpPTS behaviour is the same as in-band</w:t>
            </w:r>
          </w:p>
          <w:p w14:paraId="6E976B80" w14:textId="77777777" w:rsidR="00E008AF" w:rsidRPr="007E09B9" w:rsidRDefault="00E008AF" w:rsidP="00E008AF">
            <w:pPr>
              <w:numPr>
                <w:ilvl w:val="0"/>
                <w:numId w:val="35"/>
              </w:numPr>
              <w:spacing w:after="0" w:line="240" w:lineRule="auto"/>
              <w:rPr>
                <w:rFonts w:ascii="Times New Roman" w:eastAsia="Batang" w:hAnsi="Times New Roman" w:cs="Times New Roman"/>
                <w:bCs/>
                <w:iCs/>
                <w:sz w:val="20"/>
                <w:szCs w:val="20"/>
                <w:lang w:val="en-GB"/>
              </w:rPr>
            </w:pPr>
            <w:r w:rsidRPr="007E09B9">
              <w:rPr>
                <w:rFonts w:ascii="Times New Roman" w:eastAsia="Batang" w:hAnsi="Times New Roman" w:cs="Times New Roman"/>
                <w:bCs/>
                <w:iCs/>
                <w:sz w:val="20"/>
                <w:szCs w:val="20"/>
                <w:lang w:val="en-GB"/>
              </w:rPr>
              <w:t>For standalone</w:t>
            </w:r>
          </w:p>
          <w:p w14:paraId="42040310" w14:textId="77777777" w:rsidR="00E008AF" w:rsidRPr="007E09B9" w:rsidRDefault="00E008AF" w:rsidP="00E008AF">
            <w:pPr>
              <w:numPr>
                <w:ilvl w:val="1"/>
                <w:numId w:val="35"/>
              </w:numPr>
              <w:spacing w:after="0" w:line="240" w:lineRule="auto"/>
              <w:rPr>
                <w:rFonts w:ascii="Times New Roman" w:eastAsia="Batang" w:hAnsi="Times New Roman" w:cs="Times New Roman"/>
                <w:bCs/>
                <w:iCs/>
                <w:sz w:val="28"/>
                <w:szCs w:val="28"/>
                <w:lang w:val="en-GB"/>
              </w:rPr>
            </w:pPr>
            <w:r w:rsidRPr="007E09B9">
              <w:rPr>
                <w:rFonts w:ascii="Times New Roman" w:eastAsia="Batang" w:hAnsi="Times New Roman" w:cs="Times New Roman"/>
                <w:bCs/>
                <w:iCs/>
                <w:sz w:val="20"/>
                <w:szCs w:val="20"/>
                <w:lang w:val="en-GB"/>
              </w:rPr>
              <w:t>FFS if to introduce new special subframe configurations comprising ‘DwPTS+GP’ and ‘GP+UpPTS’, and FFS the use of DwPTS/UpPTS in them</w:t>
            </w:r>
          </w:p>
          <w:p w14:paraId="2EF65681"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p>
          <w:p w14:paraId="3B615699"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highlight w:val="green"/>
                <w:lang w:val="en-GB" w:eastAsia="ja-JP"/>
              </w:rPr>
              <w:t>Agreement</w:t>
            </w:r>
          </w:p>
          <w:p w14:paraId="20440D37" w14:textId="77777777" w:rsidR="00E008AF" w:rsidRPr="007E09B9" w:rsidRDefault="00E008AF" w:rsidP="00E008AF">
            <w:pPr>
              <w:numPr>
                <w:ilvl w:val="0"/>
                <w:numId w:val="36"/>
              </w:numPr>
              <w:spacing w:after="0" w:line="240" w:lineRule="auto"/>
              <w:rPr>
                <w:rFonts w:ascii="Times New Roman" w:eastAsia="Yu Mincho" w:hAnsi="Times New Roman" w:cs="Times New Roman"/>
                <w:sz w:val="20"/>
                <w:szCs w:val="20"/>
                <w:lang w:eastAsia="ja-JP"/>
              </w:rPr>
            </w:pPr>
            <w:r w:rsidRPr="007E09B9">
              <w:rPr>
                <w:rFonts w:ascii="Times New Roman" w:eastAsia="Yu Mincho" w:hAnsi="Times New Roman" w:cs="Times New Roman"/>
                <w:sz w:val="20"/>
                <w:szCs w:val="20"/>
                <w:lang w:eastAsia="ja-JP"/>
              </w:rPr>
              <w:t>Supporting two HARQ processes is an optional UE capability in NB-IoT TDD system.</w:t>
            </w:r>
          </w:p>
          <w:p w14:paraId="6DBBC474" w14:textId="77777777" w:rsidR="00E008AF" w:rsidRPr="007E09B9" w:rsidRDefault="00E008AF" w:rsidP="00E008AF">
            <w:pPr>
              <w:numPr>
                <w:ilvl w:val="0"/>
                <w:numId w:val="36"/>
              </w:numPr>
              <w:spacing w:after="0" w:line="240" w:lineRule="auto"/>
              <w:rPr>
                <w:rFonts w:ascii="Times New Roman" w:eastAsia="Batang" w:hAnsi="Times New Roman" w:cs="Times New Roman"/>
                <w:sz w:val="20"/>
                <w:szCs w:val="20"/>
                <w:lang w:val="en-GB" w:eastAsia="x-none"/>
              </w:rPr>
            </w:pPr>
            <w:r w:rsidRPr="007E09B9">
              <w:rPr>
                <w:rFonts w:ascii="Times New Roman" w:eastAsia="Batang" w:hAnsi="Times New Roman" w:cs="Times New Roman"/>
                <w:sz w:val="20"/>
                <w:szCs w:val="20"/>
                <w:lang w:val="en-GB" w:eastAsia="x-none"/>
              </w:rPr>
              <w:t>A 2-HARQ capable UE configured with 2 HARQ processes can be scheduled to transmit in UL subframes that occur during a DL reception, and receive in DL subframes that occur during a UL transmission.</w:t>
            </w:r>
          </w:p>
          <w:p w14:paraId="576C8F4C" w14:textId="77777777" w:rsidR="00E008AF" w:rsidRPr="007E09B9" w:rsidRDefault="00E008AF" w:rsidP="00E008AF">
            <w:pPr>
              <w:spacing w:after="0" w:line="240" w:lineRule="auto"/>
              <w:ind w:left="720" w:hanging="720"/>
              <w:rPr>
                <w:rFonts w:ascii="Times New Roman" w:eastAsia="Batang" w:hAnsi="Times New Roman" w:cs="Times New Roman"/>
                <w:sz w:val="20"/>
                <w:szCs w:val="24"/>
                <w:lang w:val="en-GB" w:eastAsia="x-none"/>
              </w:rPr>
            </w:pPr>
          </w:p>
          <w:p w14:paraId="7AC24BDE"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highlight w:val="green"/>
                <w:lang w:val="en-GB" w:eastAsia="ja-JP"/>
              </w:rPr>
              <w:t>Agreement</w:t>
            </w:r>
          </w:p>
          <w:p w14:paraId="0AE58E1F" w14:textId="77777777" w:rsidR="00E008AF" w:rsidRPr="007E09B9" w:rsidRDefault="00E008AF" w:rsidP="00E008AF">
            <w:pPr>
              <w:numPr>
                <w:ilvl w:val="0"/>
                <w:numId w:val="37"/>
              </w:numPr>
              <w:spacing w:after="0" w:line="240" w:lineRule="auto"/>
              <w:rPr>
                <w:rFonts w:ascii="Times New Roman" w:eastAsia="Yu Mincho" w:hAnsi="Times New Roman" w:cs="Times New Roman"/>
                <w:sz w:val="20"/>
                <w:szCs w:val="20"/>
                <w:lang w:eastAsia="ja-JP"/>
              </w:rPr>
            </w:pPr>
            <w:r w:rsidRPr="007E09B9">
              <w:rPr>
                <w:rFonts w:ascii="Times New Roman" w:eastAsia="Yu Mincho" w:hAnsi="Times New Roman" w:cs="Times New Roman"/>
                <w:sz w:val="20"/>
                <w:szCs w:val="20"/>
                <w:lang w:eastAsia="ja-JP"/>
              </w:rPr>
              <w:t>Dynamic indication of scheduling delay in DCI is used for TDD NB-IoT.</w:t>
            </w:r>
          </w:p>
          <w:p w14:paraId="2389E227" w14:textId="77777777" w:rsidR="00E008AF" w:rsidRPr="007E09B9" w:rsidRDefault="00E008AF" w:rsidP="00E008AF">
            <w:pPr>
              <w:numPr>
                <w:ilvl w:val="1"/>
                <w:numId w:val="37"/>
              </w:numPr>
              <w:spacing w:after="0" w:line="240" w:lineRule="auto"/>
              <w:rPr>
                <w:rFonts w:ascii="Times New Roman" w:eastAsia="Yu Mincho" w:hAnsi="Times New Roman" w:cs="Times New Roman"/>
                <w:sz w:val="20"/>
                <w:szCs w:val="20"/>
                <w:lang w:eastAsia="ja-JP"/>
              </w:rPr>
            </w:pPr>
            <w:r w:rsidRPr="007E09B9">
              <w:rPr>
                <w:rFonts w:ascii="Times New Roman" w:eastAsia="Yu Mincho" w:hAnsi="Times New Roman" w:cs="Times New Roman"/>
                <w:sz w:val="20"/>
                <w:szCs w:val="20"/>
                <w:lang w:eastAsia="ja-JP"/>
              </w:rPr>
              <w:t>FFS: definition of DL/UL scheduling delay</w:t>
            </w:r>
          </w:p>
          <w:p w14:paraId="7BB5B00E" w14:textId="77777777" w:rsidR="00E008AF" w:rsidRPr="007E09B9" w:rsidRDefault="00E008AF" w:rsidP="00E008AF">
            <w:pPr>
              <w:spacing w:after="0" w:line="240" w:lineRule="auto"/>
              <w:ind w:left="720" w:hanging="720"/>
              <w:rPr>
                <w:rFonts w:ascii="Times New Roman" w:eastAsia="Batang" w:hAnsi="Times New Roman" w:cs="Times New Roman"/>
                <w:sz w:val="32"/>
                <w:szCs w:val="32"/>
                <w:lang w:val="en-GB" w:eastAsia="x-none"/>
              </w:rPr>
            </w:pPr>
          </w:p>
          <w:p w14:paraId="04300AA4" w14:textId="77777777"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highlight w:val="green"/>
                <w:lang w:val="en-GB" w:eastAsia="ja-JP"/>
              </w:rPr>
              <w:t>Agreement</w:t>
            </w:r>
          </w:p>
          <w:p w14:paraId="4214EB4D" w14:textId="77777777" w:rsidR="00E008AF" w:rsidRPr="00B35C7D" w:rsidRDefault="00E008AF" w:rsidP="00E008AF">
            <w:pPr>
              <w:numPr>
                <w:ilvl w:val="0"/>
                <w:numId w:val="35"/>
              </w:numPr>
              <w:spacing w:after="0" w:line="240" w:lineRule="auto"/>
              <w:rPr>
                <w:rFonts w:ascii="Times New Roman" w:eastAsia="Batang" w:hAnsi="Times New Roman" w:cs="Times New Roman"/>
                <w:bCs/>
                <w:sz w:val="20"/>
                <w:szCs w:val="20"/>
                <w:lang w:val="en-GB"/>
              </w:rPr>
            </w:pPr>
            <w:r w:rsidRPr="00B35C7D">
              <w:rPr>
                <w:rFonts w:ascii="Times New Roman" w:eastAsia="Batang" w:hAnsi="Times New Roman" w:cs="Times New Roman"/>
                <w:bCs/>
                <w:sz w:val="20"/>
                <w:szCs w:val="20"/>
                <w:lang w:val="en-GB"/>
              </w:rPr>
              <w:t>Higher layers signal one bitmap containing to indicate whether the DL/UL/special subframes are valid or not.</w:t>
            </w:r>
          </w:p>
          <w:p w14:paraId="3793CBE1" w14:textId="77777777" w:rsidR="00E008AF" w:rsidRPr="00B35C7D" w:rsidRDefault="00E008AF" w:rsidP="00E008AF">
            <w:pPr>
              <w:numPr>
                <w:ilvl w:val="0"/>
                <w:numId w:val="35"/>
              </w:numPr>
              <w:spacing w:after="0" w:line="240" w:lineRule="auto"/>
              <w:rPr>
                <w:rFonts w:ascii="Times New Roman" w:eastAsia="Batang" w:hAnsi="Times New Roman" w:cs="Times New Roman"/>
                <w:bCs/>
                <w:sz w:val="20"/>
                <w:szCs w:val="20"/>
                <w:lang w:val="en-GB"/>
              </w:rPr>
            </w:pPr>
            <w:r w:rsidRPr="00B35C7D">
              <w:rPr>
                <w:rFonts w:ascii="Times New Roman" w:eastAsia="Batang" w:hAnsi="Times New Roman" w:cs="Times New Roman"/>
                <w:bCs/>
                <w:sz w:val="20"/>
                <w:szCs w:val="20"/>
                <w:lang w:val="en-GB"/>
              </w:rPr>
              <w:t>The length of the bitmap applies to</w:t>
            </w:r>
          </w:p>
          <w:p w14:paraId="3C014796" w14:textId="77777777" w:rsidR="00E008AF" w:rsidRPr="00B35C7D" w:rsidRDefault="00E008AF" w:rsidP="00E008AF">
            <w:pPr>
              <w:numPr>
                <w:ilvl w:val="1"/>
                <w:numId w:val="35"/>
              </w:numPr>
              <w:spacing w:after="0" w:line="240" w:lineRule="auto"/>
              <w:rPr>
                <w:rFonts w:ascii="Times New Roman" w:eastAsia="Batang" w:hAnsi="Times New Roman" w:cs="Times New Roman"/>
                <w:bCs/>
                <w:sz w:val="20"/>
                <w:szCs w:val="20"/>
                <w:lang w:val="en-GB"/>
              </w:rPr>
            </w:pPr>
            <w:r w:rsidRPr="00B35C7D">
              <w:rPr>
                <w:rFonts w:ascii="Times New Roman" w:eastAsia="Batang" w:hAnsi="Times New Roman" w:cs="Times New Roman"/>
                <w:bCs/>
                <w:sz w:val="20"/>
                <w:szCs w:val="20"/>
                <w:lang w:val="en-GB"/>
              </w:rPr>
              <w:t>For guard-band: 10 ms</w:t>
            </w:r>
          </w:p>
          <w:p w14:paraId="18241EF6" w14:textId="77777777" w:rsidR="00E008AF" w:rsidRPr="00B35C7D" w:rsidRDefault="00E008AF" w:rsidP="00E008AF">
            <w:pPr>
              <w:numPr>
                <w:ilvl w:val="1"/>
                <w:numId w:val="35"/>
              </w:numPr>
              <w:spacing w:after="0" w:line="240" w:lineRule="auto"/>
              <w:rPr>
                <w:rFonts w:ascii="Times New Roman" w:eastAsia="Batang" w:hAnsi="Times New Roman" w:cs="Times New Roman"/>
                <w:bCs/>
                <w:sz w:val="20"/>
                <w:szCs w:val="20"/>
                <w:lang w:val="en-GB"/>
              </w:rPr>
            </w:pPr>
            <w:r w:rsidRPr="00B35C7D">
              <w:rPr>
                <w:rFonts w:ascii="Times New Roman" w:eastAsia="Batang" w:hAnsi="Times New Roman" w:cs="Times New Roman"/>
                <w:bCs/>
                <w:sz w:val="20"/>
                <w:szCs w:val="20"/>
                <w:lang w:val="en-GB"/>
              </w:rPr>
              <w:t>For standalone: 10 ms</w:t>
            </w:r>
          </w:p>
          <w:p w14:paraId="3CC47233" w14:textId="77777777" w:rsidR="00E008AF" w:rsidRPr="00B35C7D" w:rsidRDefault="00E008AF" w:rsidP="00E008AF">
            <w:pPr>
              <w:numPr>
                <w:ilvl w:val="2"/>
                <w:numId w:val="35"/>
              </w:numPr>
              <w:spacing w:after="0" w:line="240" w:lineRule="auto"/>
              <w:rPr>
                <w:rFonts w:ascii="Times New Roman" w:eastAsia="Batang" w:hAnsi="Times New Roman" w:cs="Times New Roman"/>
                <w:bCs/>
                <w:sz w:val="20"/>
                <w:szCs w:val="20"/>
                <w:lang w:val="en-GB"/>
              </w:rPr>
            </w:pPr>
            <w:r w:rsidRPr="00B35C7D">
              <w:rPr>
                <w:rFonts w:ascii="Times New Roman" w:eastAsia="Yu Mincho" w:hAnsi="Times New Roman" w:cs="Times New Roman"/>
                <w:bCs/>
                <w:sz w:val="20"/>
                <w:szCs w:val="20"/>
                <w:lang w:val="en-GB" w:eastAsia="ja-JP"/>
              </w:rPr>
              <w:t xml:space="preserve">FFS: other values if any for co-existence purpose </w:t>
            </w:r>
          </w:p>
          <w:p w14:paraId="575DD628" w14:textId="77777777" w:rsidR="00E008AF" w:rsidRPr="00B35C7D" w:rsidRDefault="00E008AF" w:rsidP="00E008AF">
            <w:pPr>
              <w:numPr>
                <w:ilvl w:val="1"/>
                <w:numId w:val="35"/>
              </w:numPr>
              <w:spacing w:after="0" w:line="240" w:lineRule="auto"/>
              <w:rPr>
                <w:rFonts w:ascii="Times New Roman" w:eastAsia="Batang" w:hAnsi="Times New Roman" w:cs="Times New Roman"/>
                <w:bCs/>
                <w:sz w:val="20"/>
                <w:szCs w:val="20"/>
                <w:lang w:val="en-GB"/>
              </w:rPr>
            </w:pPr>
            <w:r w:rsidRPr="00B35C7D">
              <w:rPr>
                <w:rFonts w:ascii="Times New Roman" w:eastAsia="Batang" w:hAnsi="Times New Roman" w:cs="Times New Roman"/>
                <w:bCs/>
                <w:sz w:val="20"/>
                <w:szCs w:val="20"/>
                <w:lang w:val="en-GB"/>
              </w:rPr>
              <w:t>For in-band: At least 10 ms and 40 ms are supported; FFS if also an 80 ms length is supported for coexistence with dynamic TDD.</w:t>
            </w:r>
          </w:p>
          <w:p w14:paraId="45EDAF3F"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p>
          <w:p w14:paraId="4A68E13F" w14:textId="77777777" w:rsidR="00E008AF" w:rsidRPr="007E09B9" w:rsidRDefault="00E008AF" w:rsidP="00E008AF">
            <w:pPr>
              <w:spacing w:after="0" w:line="240" w:lineRule="auto"/>
              <w:ind w:left="720" w:hanging="720"/>
              <w:rPr>
                <w:rFonts w:ascii="Times New Roman" w:eastAsia="Yu Mincho" w:hAnsi="Times New Roman" w:cs="Times New Roman"/>
                <w:sz w:val="20"/>
                <w:szCs w:val="24"/>
                <w:lang w:val="en-GB" w:eastAsia="ja-JP"/>
              </w:rPr>
            </w:pPr>
            <w:r w:rsidRPr="007E09B9">
              <w:rPr>
                <w:rFonts w:ascii="Times New Roman" w:eastAsia="Yu Mincho" w:hAnsi="Times New Roman" w:cs="Times New Roman"/>
                <w:sz w:val="20"/>
                <w:szCs w:val="24"/>
                <w:highlight w:val="green"/>
                <w:lang w:val="en-GB" w:eastAsia="ja-JP"/>
              </w:rPr>
              <w:t>Agreement</w:t>
            </w:r>
          </w:p>
          <w:p w14:paraId="715C9BFB" w14:textId="6C8CE43D" w:rsidR="00E008AF" w:rsidRPr="007E09B9" w:rsidRDefault="00E008AF" w:rsidP="00E008AF">
            <w:pPr>
              <w:spacing w:after="0" w:line="240" w:lineRule="auto"/>
              <w:ind w:left="720" w:hanging="720"/>
              <w:rPr>
                <w:rFonts w:ascii="Times New Roman" w:eastAsia="Yu Mincho" w:hAnsi="Times New Roman" w:cs="Times New Roman"/>
                <w:sz w:val="20"/>
                <w:szCs w:val="20"/>
                <w:lang w:val="en-GB" w:eastAsia="ja-JP"/>
              </w:rPr>
            </w:pPr>
            <w:r w:rsidRPr="007E09B9">
              <w:rPr>
                <w:rFonts w:ascii="Times New Roman" w:eastAsia="Yu Mincho" w:hAnsi="Times New Roman" w:cs="Times New Roman"/>
                <w:sz w:val="20"/>
                <w:szCs w:val="20"/>
                <w:lang w:val="en-GB" w:eastAsia="ja-JP"/>
              </w:rPr>
              <w:t>The maximum UL and DL TBS for Cat. NB1 and Cat. NB2 are kept the same as Rel-13/Rel-14 (e)NB-IoT FDD systems</w:t>
            </w:r>
          </w:p>
        </w:tc>
      </w:tr>
    </w:tbl>
    <w:p w14:paraId="77B06D67" w14:textId="77777777" w:rsidR="00042E87" w:rsidRPr="00B35C7D" w:rsidRDefault="00042E87" w:rsidP="00042E87">
      <w:pPr>
        <w:jc w:val="both"/>
        <w:rPr>
          <w:rFonts w:ascii="Times New Roman" w:hAnsi="Times New Roman" w:cs="Times New Roman"/>
          <w:bCs/>
          <w:sz w:val="20"/>
          <w:szCs w:val="20"/>
        </w:rPr>
      </w:pPr>
    </w:p>
    <w:p w14:paraId="470F24E7" w14:textId="77777777" w:rsidR="00BA0384" w:rsidRPr="007E09B9" w:rsidRDefault="00BA0384" w:rsidP="00BA0384">
      <w:pPr>
        <w:pStyle w:val="Heading1"/>
        <w:jc w:val="both"/>
        <w:rPr>
          <w:rFonts w:ascii="Times New Roman" w:hAnsi="Times New Roman" w:cs="Times New Roman"/>
        </w:rPr>
      </w:pPr>
      <w:r w:rsidRPr="007E09B9">
        <w:rPr>
          <w:rFonts w:ascii="Times New Roman" w:hAnsi="Times New Roman" w:cs="Times New Roman"/>
        </w:rPr>
        <w:t>Common aspects on the TDD support into NB-IoT</w:t>
      </w:r>
    </w:p>
    <w:p w14:paraId="2B077DE6" w14:textId="4496AC61" w:rsidR="00BA0384" w:rsidRPr="00B35C7D" w:rsidRDefault="00BA0384" w:rsidP="00BA0384">
      <w:pPr>
        <w:rPr>
          <w:rFonts w:ascii="Times New Roman" w:hAnsi="Times New Roman" w:cs="Times New Roman"/>
          <w:sz w:val="20"/>
        </w:rPr>
      </w:pPr>
      <w:r w:rsidRPr="00B35C7D">
        <w:rPr>
          <w:rFonts w:ascii="Times New Roman" w:hAnsi="Times New Roman" w:cs="Times New Roman"/>
          <w:sz w:val="20"/>
        </w:rPr>
        <w:t>This section analyses first the LTE TDD configurations within the scope of NB-IoT</w:t>
      </w:r>
      <w:r w:rsidR="008B0BBC" w:rsidRPr="00B35C7D">
        <w:rPr>
          <w:rFonts w:ascii="Times New Roman" w:hAnsi="Times New Roman" w:cs="Times New Roman"/>
          <w:sz w:val="20"/>
        </w:rPr>
        <w:t xml:space="preserve"> TDD</w:t>
      </w:r>
      <w:r w:rsidRPr="00B35C7D">
        <w:rPr>
          <w:rFonts w:ascii="Times New Roman" w:hAnsi="Times New Roman" w:cs="Times New Roman"/>
          <w:sz w:val="20"/>
        </w:rPr>
        <w:t>. Then, other common aspects such as</w:t>
      </w:r>
      <w:r w:rsidR="008B0BBC" w:rsidRPr="00B35C7D">
        <w:rPr>
          <w:rFonts w:ascii="Times New Roman" w:hAnsi="Times New Roman" w:cs="Times New Roman"/>
          <w:sz w:val="20"/>
        </w:rPr>
        <w:t xml:space="preserve"> the </w:t>
      </w:r>
      <w:r w:rsidR="00002996" w:rsidRPr="00B35C7D">
        <w:rPr>
          <w:rFonts w:ascii="Times New Roman" w:hAnsi="Times New Roman" w:cs="Times New Roman"/>
          <w:sz w:val="20"/>
        </w:rPr>
        <w:t xml:space="preserve">MCL relaxations and capacity targets, the scheduling delay for TDD NB-IoT, </w:t>
      </w:r>
      <w:r w:rsidRPr="00B35C7D">
        <w:rPr>
          <w:rFonts w:ascii="Times New Roman" w:hAnsi="Times New Roman" w:cs="Times New Roman"/>
          <w:sz w:val="20"/>
        </w:rPr>
        <w:t xml:space="preserve">and </w:t>
      </w:r>
      <w:r w:rsidR="00B738C2" w:rsidRPr="00B35C7D">
        <w:rPr>
          <w:rFonts w:ascii="Times New Roman" w:hAnsi="Times New Roman" w:cs="Times New Roman"/>
          <w:sz w:val="20"/>
        </w:rPr>
        <w:t xml:space="preserve">the support of </w:t>
      </w:r>
      <w:r w:rsidR="00002996" w:rsidRPr="00B35C7D">
        <w:rPr>
          <w:rFonts w:ascii="Times New Roman" w:hAnsi="Times New Roman" w:cs="Times New Roman"/>
          <w:sz w:val="20"/>
        </w:rPr>
        <w:t>cross</w:t>
      </w:r>
      <w:r w:rsidR="00B738C2" w:rsidRPr="00B35C7D">
        <w:rPr>
          <w:rFonts w:ascii="Times New Roman" w:hAnsi="Times New Roman" w:cs="Times New Roman"/>
          <w:sz w:val="20"/>
        </w:rPr>
        <w:t xml:space="preserve">-carrier </w:t>
      </w:r>
      <w:r w:rsidR="00002996" w:rsidRPr="00B35C7D">
        <w:rPr>
          <w:rFonts w:ascii="Times New Roman" w:hAnsi="Times New Roman" w:cs="Times New Roman"/>
          <w:sz w:val="20"/>
        </w:rPr>
        <w:t xml:space="preserve">scheduling </w:t>
      </w:r>
      <w:r w:rsidRPr="00B35C7D">
        <w:rPr>
          <w:rFonts w:ascii="Times New Roman" w:hAnsi="Times New Roman" w:cs="Times New Roman"/>
          <w:sz w:val="20"/>
        </w:rPr>
        <w:t>are addressed.</w:t>
      </w:r>
    </w:p>
    <w:p w14:paraId="59759B13" w14:textId="77777777" w:rsidR="00BA0384" w:rsidRPr="007E09B9" w:rsidRDefault="00BA0384" w:rsidP="00BA0384">
      <w:pPr>
        <w:pStyle w:val="Heading2"/>
        <w:rPr>
          <w:rFonts w:ascii="Times New Roman" w:hAnsi="Times New Roman" w:cs="Times New Roman"/>
        </w:rPr>
      </w:pPr>
      <w:r w:rsidRPr="007E09B9">
        <w:rPr>
          <w:rFonts w:ascii="Times New Roman" w:hAnsi="Times New Roman" w:cs="Times New Roman"/>
        </w:rPr>
        <w:t xml:space="preserve">TDD configurations </w:t>
      </w:r>
    </w:p>
    <w:p w14:paraId="0FCAFC6D" w14:textId="77777777" w:rsidR="00BA0384" w:rsidRPr="007E09B9" w:rsidRDefault="00BA0384" w:rsidP="00BA0384">
      <w:pPr>
        <w:pStyle w:val="Heading3"/>
        <w:rPr>
          <w:rFonts w:ascii="Times New Roman" w:hAnsi="Times New Roman" w:cs="Times New Roman"/>
        </w:rPr>
      </w:pPr>
      <w:r w:rsidRPr="007E09B9">
        <w:rPr>
          <w:rFonts w:ascii="Times New Roman" w:hAnsi="Times New Roman" w:cs="Times New Roman"/>
        </w:rPr>
        <w:t>UL &amp; DL in the TDD configurations</w:t>
      </w:r>
    </w:p>
    <w:p w14:paraId="794290E0" w14:textId="04639DD2" w:rsidR="00BA0384" w:rsidRPr="00B35C7D" w:rsidRDefault="00BA0384" w:rsidP="00AB6BEF">
      <w:pPr>
        <w:jc w:val="both"/>
        <w:rPr>
          <w:rFonts w:ascii="Times New Roman" w:hAnsi="Times New Roman" w:cs="Times New Roman"/>
          <w:sz w:val="20"/>
        </w:rPr>
      </w:pPr>
      <w:r w:rsidRPr="00B35C7D">
        <w:rPr>
          <w:rFonts w:ascii="Times New Roman" w:hAnsi="Times New Roman" w:cs="Times New Roman"/>
          <w:sz w:val="20"/>
        </w:rPr>
        <w:t xml:space="preserve">In a TDD operation, the </w:t>
      </w:r>
      <w:r w:rsidRPr="00B35C7D">
        <w:rPr>
          <w:rFonts w:ascii="Times New Roman" w:hAnsi="Times New Roman" w:cs="Times New Roman"/>
          <w:bCs/>
          <w:iCs/>
          <w:sz w:val="20"/>
        </w:rPr>
        <w:t xml:space="preserve">downlink and uplink radio resources have been made to coexist within the same radio frame, </w:t>
      </w:r>
      <w:r w:rsidRPr="00B35C7D">
        <w:rPr>
          <w:rFonts w:ascii="Times New Roman" w:hAnsi="Times New Roman" w:cs="Times New Roman"/>
          <w:bCs/>
          <w:sz w:val="20"/>
        </w:rPr>
        <w:t xml:space="preserve">being the switching between downlink and uplink performed during a guard period </w:t>
      </w:r>
      <w:r w:rsidR="00AB6BEF" w:rsidRPr="00B35C7D">
        <w:rPr>
          <w:rFonts w:ascii="Times New Roman" w:hAnsi="Times New Roman" w:cs="Times New Roman"/>
          <w:bCs/>
          <w:sz w:val="20"/>
        </w:rPr>
        <w:t xml:space="preserve">(GP) </w:t>
      </w:r>
      <w:r w:rsidRPr="00B35C7D">
        <w:rPr>
          <w:rFonts w:ascii="Times New Roman" w:hAnsi="Times New Roman" w:cs="Times New Roman"/>
          <w:bCs/>
          <w:sz w:val="20"/>
        </w:rPr>
        <w:t xml:space="preserve">contained within a </w:t>
      </w:r>
      <w:r w:rsidRPr="00B35C7D">
        <w:rPr>
          <w:rFonts w:ascii="Times New Roman" w:hAnsi="Times New Roman" w:cs="Times New Roman"/>
          <w:bCs/>
          <w:iCs/>
          <w:sz w:val="20"/>
        </w:rPr>
        <w:t>special subframe.</w:t>
      </w:r>
      <w:r w:rsidRPr="00B35C7D">
        <w:rPr>
          <w:rFonts w:ascii="Times New Roman" w:hAnsi="Times New Roman" w:cs="Times New Roman"/>
          <w:sz w:val="20"/>
        </w:rPr>
        <w:t xml:space="preserve"> Table 1 shows the existing LTE TDD configurations </w:t>
      </w:r>
      <w:r w:rsidRPr="00B35C7D">
        <w:rPr>
          <w:rFonts w:ascii="Times New Roman" w:hAnsi="Times New Roman" w:cs="Times New Roman"/>
          <w:bCs/>
          <w:iCs/>
          <w:sz w:val="20"/>
        </w:rPr>
        <w:t>as described by the LTE standard [</w:t>
      </w:r>
      <w:r w:rsidR="000B495A">
        <w:rPr>
          <w:rFonts w:ascii="Times New Roman" w:hAnsi="Times New Roman" w:cs="Times New Roman"/>
          <w:bCs/>
          <w:iCs/>
          <w:sz w:val="20"/>
        </w:rPr>
        <w:t>5</w:t>
      </w:r>
      <w:r w:rsidRPr="00B35C7D">
        <w:rPr>
          <w:rFonts w:ascii="Times New Roman" w:hAnsi="Times New Roman" w:cs="Times New Roman"/>
          <w:bCs/>
          <w:iCs/>
          <w:sz w:val="20"/>
        </w:rPr>
        <w:t>].</w:t>
      </w:r>
    </w:p>
    <w:p w14:paraId="0FB0D03D" w14:textId="09EA61C7" w:rsidR="00431095" w:rsidRPr="007E09B9" w:rsidRDefault="00431095" w:rsidP="00525A9F">
      <w:pPr>
        <w:pStyle w:val="Caption"/>
        <w:keepNext/>
        <w:jc w:val="center"/>
        <w:rPr>
          <w:rFonts w:ascii="Times New Roman" w:hAnsi="Times New Roman" w:cs="Times New Roman"/>
          <w:b/>
        </w:rPr>
      </w:pPr>
      <w:bookmarkStart w:id="1" w:name="_Ref488749878"/>
      <w:r w:rsidRPr="007E09B9">
        <w:rPr>
          <w:rFonts w:ascii="Times New Roman" w:hAnsi="Times New Roman" w:cs="Times New Roman"/>
          <w:b/>
        </w:rPr>
        <w:lastRenderedPageBreak/>
        <w:t xml:space="preserve">Table </w:t>
      </w:r>
      <w:r w:rsidRPr="007E09B9">
        <w:rPr>
          <w:rFonts w:ascii="Times New Roman" w:hAnsi="Times New Roman" w:cs="Times New Roman"/>
          <w:b/>
        </w:rPr>
        <w:fldChar w:fldCharType="begin"/>
      </w:r>
      <w:r w:rsidRPr="007E09B9">
        <w:rPr>
          <w:rFonts w:ascii="Times New Roman" w:hAnsi="Times New Roman" w:cs="Times New Roman"/>
          <w:b/>
        </w:rPr>
        <w:instrText xml:space="preserve"> SEQ Table \* ARABIC </w:instrText>
      </w:r>
      <w:r w:rsidRPr="007E09B9">
        <w:rPr>
          <w:rFonts w:ascii="Times New Roman" w:hAnsi="Times New Roman" w:cs="Times New Roman"/>
          <w:b/>
        </w:rPr>
        <w:fldChar w:fldCharType="separate"/>
      </w:r>
      <w:r w:rsidR="00324A88">
        <w:rPr>
          <w:rFonts w:ascii="Times New Roman" w:hAnsi="Times New Roman" w:cs="Times New Roman"/>
          <w:b/>
          <w:noProof/>
        </w:rPr>
        <w:t>1</w:t>
      </w:r>
      <w:r w:rsidRPr="007E09B9">
        <w:rPr>
          <w:rFonts w:ascii="Times New Roman" w:hAnsi="Times New Roman" w:cs="Times New Roman"/>
          <w:b/>
        </w:rPr>
        <w:fldChar w:fldCharType="end"/>
      </w:r>
      <w:bookmarkEnd w:id="1"/>
      <w:r w:rsidRPr="007E09B9">
        <w:rPr>
          <w:rFonts w:ascii="Times New Roman" w:hAnsi="Times New Roman" w:cs="Times New Roman"/>
          <w:b/>
        </w:rPr>
        <w:t xml:space="preserve"> Uplink-downlink TDD configurations</w:t>
      </w:r>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BA0384" w:rsidRPr="007B7000"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 xml:space="preserve">Uplink-downlink </w:t>
            </w:r>
          </w:p>
          <w:p w14:paraId="42EE315C"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 xml:space="preserve">Downlink-to-Uplink </w:t>
            </w:r>
          </w:p>
          <w:p w14:paraId="5B9DE93D"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Number of subframes / frame</w:t>
            </w:r>
          </w:p>
        </w:tc>
      </w:tr>
      <w:tr w:rsidR="00BA0384" w:rsidRPr="007B7000"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Pr="007E09B9" w:rsidRDefault="00BA0384" w:rsidP="00856D15">
            <w:pPr>
              <w:spacing w:after="0"/>
              <w:rPr>
                <w:rFonts w:ascii="Times New Roman" w:hAnsi="Times New Roman" w:cs="Times New Roman"/>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Pr="007E09B9" w:rsidRDefault="00BA0384" w:rsidP="00856D15">
            <w:pPr>
              <w:spacing w:after="0"/>
              <w:rPr>
                <w:rFonts w:ascii="Times New Roman" w:hAnsi="Times New Roman" w:cs="Times New Roman"/>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Pr="007E09B9" w:rsidRDefault="00BA0384" w:rsidP="00856D15">
            <w:pPr>
              <w:pStyle w:val="TAH"/>
              <w:rPr>
                <w:rFonts w:ascii="Times New Roman" w:hAnsi="Times New Roman" w:cs="Times New Roman"/>
                <w:sz w:val="14"/>
                <w:szCs w:val="14"/>
              </w:rPr>
            </w:pPr>
            <w:r w:rsidRPr="007E09B9">
              <w:rPr>
                <w:rFonts w:ascii="Times New Roman" w:hAnsi="Times New Roman" w:cs="Times New Roman"/>
                <w:sz w:val="14"/>
                <w:szCs w:val="14"/>
              </w:rPr>
              <w:t>S</w:t>
            </w:r>
          </w:p>
        </w:tc>
      </w:tr>
      <w:tr w:rsidR="00BA0384" w:rsidRPr="007B7000"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Pr="007E09B9" w:rsidRDefault="00BA0384" w:rsidP="00856D15">
            <w:pPr>
              <w:pStyle w:val="TAC"/>
              <w:rPr>
                <w:rFonts w:ascii="Times New Roman" w:hAnsi="Times New Roman" w:cs="Times New Roman"/>
                <w:strike/>
                <w:sz w:val="14"/>
                <w:szCs w:val="14"/>
              </w:rPr>
            </w:pPr>
            <w:r w:rsidRPr="007E09B9">
              <w:rPr>
                <w:rFonts w:ascii="Times New Roman" w:hAnsi="Times New Roman" w:cs="Times New Roman"/>
                <w:strike/>
                <w:sz w:val="14"/>
                <w:szCs w:val="14"/>
              </w:rPr>
              <w:t>2</w:t>
            </w:r>
          </w:p>
        </w:tc>
      </w:tr>
      <w:tr w:rsidR="00BA0384" w:rsidRPr="007B7000"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r>
      <w:tr w:rsidR="00BA0384" w:rsidRPr="007B7000"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r>
      <w:tr w:rsidR="00BA0384" w:rsidRPr="007B7000"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w:t>
            </w:r>
          </w:p>
        </w:tc>
      </w:tr>
      <w:tr w:rsidR="00BA0384" w:rsidRPr="007B7000"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w:t>
            </w:r>
          </w:p>
        </w:tc>
      </w:tr>
      <w:tr w:rsidR="00BA0384" w:rsidRPr="007B7000"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1</w:t>
            </w:r>
          </w:p>
        </w:tc>
      </w:tr>
      <w:tr w:rsidR="00BA0384" w:rsidRPr="007B7000"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Pr="007E09B9" w:rsidRDefault="00BA0384" w:rsidP="00856D15">
            <w:pPr>
              <w:pStyle w:val="TAC"/>
              <w:rPr>
                <w:rFonts w:ascii="Times New Roman" w:hAnsi="Times New Roman" w:cs="Times New Roman"/>
                <w:sz w:val="14"/>
                <w:szCs w:val="14"/>
              </w:rPr>
            </w:pPr>
            <w:r w:rsidRPr="007E09B9">
              <w:rPr>
                <w:rFonts w:ascii="Times New Roman" w:hAnsi="Times New Roman" w:cs="Times New Roman"/>
                <w:sz w:val="14"/>
                <w:szCs w:val="14"/>
              </w:rPr>
              <w:t>2</w:t>
            </w:r>
          </w:p>
        </w:tc>
      </w:tr>
    </w:tbl>
    <w:p w14:paraId="01CDA546" w14:textId="77777777" w:rsidR="00BA0384" w:rsidRPr="007E09B9" w:rsidRDefault="00BA0384" w:rsidP="00BA0384">
      <w:pPr>
        <w:rPr>
          <w:rFonts w:ascii="Times New Roman" w:hAnsi="Times New Roman" w:cs="Times New Roman"/>
        </w:rPr>
      </w:pPr>
    </w:p>
    <w:p w14:paraId="494A32D7" w14:textId="77777777" w:rsidR="00BA0384" w:rsidRPr="007E09B9" w:rsidRDefault="00BA0384" w:rsidP="00BA0384">
      <w:pPr>
        <w:rPr>
          <w:rFonts w:ascii="Times New Roman" w:hAnsi="Times New Roman" w:cs="Times New Roman"/>
          <w:bCs/>
          <w:iCs/>
        </w:rPr>
      </w:pPr>
      <w:r w:rsidRPr="007E09B9">
        <w:rPr>
          <w:rFonts w:ascii="Times New Roman" w:hAnsi="Times New Roman" w:cs="Times New Roman"/>
          <w:b/>
          <w:bCs/>
          <w:iCs/>
        </w:rPr>
        <w:t>D: Downlink; U: Uplink; S: Special Subframe</w:t>
      </w:r>
    </w:p>
    <w:p w14:paraId="33B69F88" w14:textId="116A2C6C" w:rsidR="00FA14F3" w:rsidRPr="00B35C7D" w:rsidRDefault="00FA14F3" w:rsidP="00AF67BC">
      <w:pPr>
        <w:jc w:val="both"/>
        <w:rPr>
          <w:rFonts w:ascii="Times New Roman" w:hAnsi="Times New Roman" w:cs="Times New Roman"/>
          <w:sz w:val="20"/>
        </w:rPr>
      </w:pPr>
      <w:r w:rsidRPr="00B35C7D">
        <w:rPr>
          <w:rFonts w:ascii="Times New Roman" w:hAnsi="Times New Roman" w:cs="Times New Roman"/>
          <w:sz w:val="20"/>
          <w:szCs w:val="20"/>
        </w:rPr>
        <w:t>In RAN1 #90bis, it was agreed that the “TDD UL:DL configuration 0 is not supported in TDD NB-IoT in Rel-15,” while the following statement “TDD UL:DL configuration 6 is not supported in TDD NB-IoT in Rel-15” remains as a Working assumption [</w:t>
      </w:r>
      <w:r w:rsidR="00F34AB6" w:rsidRPr="00B35C7D">
        <w:rPr>
          <w:rFonts w:ascii="Times New Roman" w:hAnsi="Times New Roman" w:cs="Times New Roman"/>
          <w:sz w:val="20"/>
          <w:szCs w:val="20"/>
        </w:rPr>
        <w:t>6</w:t>
      </w:r>
      <w:r w:rsidRPr="00B35C7D">
        <w:rPr>
          <w:rFonts w:ascii="Times New Roman" w:hAnsi="Times New Roman" w:cs="Times New Roman"/>
          <w:sz w:val="20"/>
          <w:szCs w:val="20"/>
        </w:rPr>
        <w:t>].</w:t>
      </w:r>
      <w:r w:rsidR="00C01D3A" w:rsidRPr="00B35C7D">
        <w:rPr>
          <w:rFonts w:ascii="Times New Roman" w:hAnsi="Times New Roman" w:cs="Times New Roman"/>
          <w:sz w:val="20"/>
          <w:szCs w:val="20"/>
        </w:rPr>
        <w:t xml:space="preserve"> In RAN1 #92, it was agreed that RAN1 will “Revisit the working assumption about TDD UL/DL configuration 6 once the TDD design as a whole is more advanced.”</w:t>
      </w:r>
    </w:p>
    <w:p w14:paraId="711D8C11" w14:textId="416D5ADA" w:rsidR="00BC1B17" w:rsidRPr="00B35C7D" w:rsidRDefault="00FA14F3" w:rsidP="00AF67BC">
      <w:pPr>
        <w:jc w:val="both"/>
        <w:rPr>
          <w:rFonts w:ascii="Times New Roman" w:hAnsi="Times New Roman" w:cs="Times New Roman"/>
          <w:sz w:val="20"/>
          <w:szCs w:val="20"/>
        </w:rPr>
      </w:pPr>
      <w:r w:rsidRPr="00B35C7D">
        <w:rPr>
          <w:rFonts w:ascii="Times New Roman" w:hAnsi="Times New Roman" w:cs="Times New Roman"/>
          <w:sz w:val="20"/>
        </w:rPr>
        <w:t>F</w:t>
      </w:r>
      <w:r w:rsidR="00596185" w:rsidRPr="00B35C7D">
        <w:rPr>
          <w:rFonts w:ascii="Times New Roman" w:hAnsi="Times New Roman" w:cs="Times New Roman"/>
          <w:sz w:val="20"/>
        </w:rPr>
        <w:t xml:space="preserve">or </w:t>
      </w:r>
      <w:r w:rsidRPr="00B35C7D">
        <w:rPr>
          <w:rFonts w:ascii="Times New Roman" w:hAnsi="Times New Roman" w:cs="Times New Roman"/>
          <w:sz w:val="20"/>
        </w:rPr>
        <w:t xml:space="preserve">the TDD </w:t>
      </w:r>
      <w:r w:rsidR="00596185" w:rsidRPr="00B35C7D">
        <w:rPr>
          <w:rFonts w:ascii="Times New Roman" w:hAnsi="Times New Roman" w:cs="Times New Roman"/>
          <w:sz w:val="20"/>
        </w:rPr>
        <w:t>configuration</w:t>
      </w:r>
      <w:r w:rsidR="000D636E" w:rsidRPr="00B35C7D">
        <w:rPr>
          <w:rFonts w:ascii="Times New Roman" w:hAnsi="Times New Roman" w:cs="Times New Roman"/>
          <w:sz w:val="20"/>
        </w:rPr>
        <w:t xml:space="preserve"> #6</w:t>
      </w:r>
      <w:r w:rsidR="00525A9F" w:rsidRPr="00B35C7D">
        <w:rPr>
          <w:rFonts w:ascii="Times New Roman" w:hAnsi="Times New Roman" w:cs="Times New Roman"/>
          <w:sz w:val="20"/>
        </w:rPr>
        <w:t xml:space="preserve"> there are only </w:t>
      </w:r>
      <w:r w:rsidR="000D636E" w:rsidRPr="00B35C7D">
        <w:rPr>
          <w:rFonts w:ascii="Times New Roman" w:hAnsi="Times New Roman" w:cs="Times New Roman"/>
          <w:sz w:val="20"/>
        </w:rPr>
        <w:t xml:space="preserve">three </w:t>
      </w:r>
      <w:r w:rsidR="00525A9F" w:rsidRPr="00B35C7D">
        <w:rPr>
          <w:rFonts w:ascii="Times New Roman" w:hAnsi="Times New Roman" w:cs="Times New Roman"/>
          <w:sz w:val="20"/>
        </w:rPr>
        <w:t xml:space="preserve">DL subframes per radio frame, </w:t>
      </w:r>
      <w:r w:rsidR="00596185" w:rsidRPr="00B35C7D">
        <w:rPr>
          <w:rFonts w:ascii="Times New Roman" w:hAnsi="Times New Roman" w:cs="Times New Roman"/>
          <w:sz w:val="20"/>
        </w:rPr>
        <w:t>meaning that the</w:t>
      </w:r>
      <w:r w:rsidR="00525A9F" w:rsidRPr="00B35C7D">
        <w:rPr>
          <w:rFonts w:ascii="Times New Roman" w:hAnsi="Times New Roman" w:cs="Times New Roman"/>
          <w:sz w:val="20"/>
        </w:rPr>
        <w:t xml:space="preserve"> resources </w:t>
      </w:r>
      <w:r w:rsidR="00374871" w:rsidRPr="00B35C7D">
        <w:rPr>
          <w:rFonts w:ascii="Times New Roman" w:hAnsi="Times New Roman" w:cs="Times New Roman"/>
          <w:sz w:val="20"/>
        </w:rPr>
        <w:t xml:space="preserve">are </w:t>
      </w:r>
      <w:r w:rsidR="00596185" w:rsidRPr="00B35C7D">
        <w:rPr>
          <w:rFonts w:ascii="Times New Roman" w:hAnsi="Times New Roman" w:cs="Times New Roman"/>
          <w:sz w:val="20"/>
        </w:rPr>
        <w:t xml:space="preserve">hardly sufficient </w:t>
      </w:r>
      <w:r w:rsidR="00525A9F" w:rsidRPr="00B35C7D">
        <w:rPr>
          <w:rFonts w:ascii="Times New Roman" w:hAnsi="Times New Roman" w:cs="Times New Roman"/>
          <w:sz w:val="20"/>
        </w:rPr>
        <w:t xml:space="preserve">for </w:t>
      </w:r>
      <w:r w:rsidR="00374871" w:rsidRPr="00B35C7D">
        <w:rPr>
          <w:rFonts w:ascii="Times New Roman" w:hAnsi="Times New Roman" w:cs="Times New Roman"/>
          <w:sz w:val="20"/>
        </w:rPr>
        <w:t xml:space="preserve">carrying </w:t>
      </w:r>
      <w:r w:rsidR="00525A9F" w:rsidRPr="00B35C7D">
        <w:rPr>
          <w:rFonts w:ascii="Times New Roman" w:hAnsi="Times New Roman" w:cs="Times New Roman"/>
          <w:sz w:val="20"/>
        </w:rPr>
        <w:t xml:space="preserve">NPSS, NSSS, and NPBCH </w:t>
      </w:r>
      <w:r w:rsidR="00374871" w:rsidRPr="00B35C7D">
        <w:rPr>
          <w:rFonts w:ascii="Times New Roman" w:hAnsi="Times New Roman" w:cs="Times New Roman"/>
          <w:sz w:val="20"/>
        </w:rPr>
        <w:t xml:space="preserve">with </w:t>
      </w:r>
      <w:r w:rsidR="00525A9F" w:rsidRPr="00B35C7D">
        <w:rPr>
          <w:rFonts w:ascii="Times New Roman" w:hAnsi="Times New Roman" w:cs="Times New Roman"/>
          <w:sz w:val="20"/>
        </w:rPr>
        <w:t xml:space="preserve">no </w:t>
      </w:r>
      <w:r w:rsidR="00374871" w:rsidRPr="00B35C7D">
        <w:rPr>
          <w:rFonts w:ascii="Times New Roman" w:hAnsi="Times New Roman" w:cs="Times New Roman"/>
          <w:sz w:val="20"/>
        </w:rPr>
        <w:t>room</w:t>
      </w:r>
      <w:r w:rsidR="00890D9D" w:rsidRPr="00B35C7D">
        <w:rPr>
          <w:rFonts w:ascii="Times New Roman" w:hAnsi="Times New Roman" w:cs="Times New Roman"/>
          <w:sz w:val="20"/>
        </w:rPr>
        <w:t xml:space="preserve"> or almost no room</w:t>
      </w:r>
      <w:r w:rsidR="00374871" w:rsidRPr="00B35C7D">
        <w:rPr>
          <w:rFonts w:ascii="Times New Roman" w:hAnsi="Times New Roman" w:cs="Times New Roman"/>
          <w:sz w:val="20"/>
        </w:rPr>
        <w:t xml:space="preserve"> </w:t>
      </w:r>
      <w:r w:rsidR="008974C6" w:rsidRPr="00B35C7D">
        <w:rPr>
          <w:rFonts w:ascii="Times New Roman" w:hAnsi="Times New Roman" w:cs="Times New Roman"/>
          <w:sz w:val="20"/>
        </w:rPr>
        <w:t xml:space="preserve">(subframe #0 is also used by SIB1-NB ) </w:t>
      </w:r>
      <w:r w:rsidR="00374871" w:rsidRPr="00B35C7D">
        <w:rPr>
          <w:rFonts w:ascii="Times New Roman" w:hAnsi="Times New Roman" w:cs="Times New Roman"/>
          <w:sz w:val="20"/>
        </w:rPr>
        <w:t xml:space="preserve">for </w:t>
      </w:r>
      <w:r w:rsidR="00525A9F" w:rsidRPr="00B35C7D">
        <w:rPr>
          <w:rFonts w:ascii="Times New Roman" w:hAnsi="Times New Roman" w:cs="Times New Roman"/>
          <w:sz w:val="20"/>
        </w:rPr>
        <w:t>other channels, if only one DL carrier is configured.</w:t>
      </w:r>
      <w:r w:rsidR="00AF67BC" w:rsidRPr="00B35C7D">
        <w:rPr>
          <w:rFonts w:ascii="Times New Roman" w:hAnsi="Times New Roman" w:cs="Times New Roman"/>
          <w:sz w:val="18"/>
        </w:rPr>
        <w:t xml:space="preserve"> </w:t>
      </w:r>
      <w:r w:rsidR="00890D9D" w:rsidRPr="00B35C7D">
        <w:rPr>
          <w:rFonts w:ascii="Times New Roman" w:hAnsi="Times New Roman" w:cs="Times New Roman"/>
          <w:sz w:val="20"/>
          <w:szCs w:val="20"/>
        </w:rPr>
        <w:t>Thus, if</w:t>
      </w:r>
      <w:r w:rsidR="00CF4865" w:rsidRPr="00B35C7D">
        <w:rPr>
          <w:rFonts w:ascii="Times New Roman" w:hAnsi="Times New Roman" w:cs="Times New Roman"/>
          <w:sz w:val="20"/>
          <w:szCs w:val="20"/>
        </w:rPr>
        <w:t xml:space="preserve"> the Working assumption is not confirmed, meaning that TDD configuration #6 will </w:t>
      </w:r>
      <w:r w:rsidR="00890D9D" w:rsidRPr="00B35C7D">
        <w:rPr>
          <w:rFonts w:ascii="Times New Roman" w:hAnsi="Times New Roman" w:cs="Times New Roman"/>
          <w:sz w:val="20"/>
          <w:szCs w:val="20"/>
        </w:rPr>
        <w:t xml:space="preserve">indeed </w:t>
      </w:r>
      <w:r w:rsidR="00CF4865" w:rsidRPr="00B35C7D">
        <w:rPr>
          <w:rFonts w:ascii="Times New Roman" w:hAnsi="Times New Roman" w:cs="Times New Roman"/>
          <w:sz w:val="20"/>
          <w:szCs w:val="20"/>
        </w:rPr>
        <w:t xml:space="preserve">be supported for TDD NB-IoT, one of the consequences/implications is that </w:t>
      </w:r>
      <w:r w:rsidR="008974C6" w:rsidRPr="00B35C7D">
        <w:rPr>
          <w:rFonts w:ascii="Times New Roman" w:hAnsi="Times New Roman" w:cs="Times New Roman"/>
          <w:sz w:val="20"/>
          <w:szCs w:val="20"/>
        </w:rPr>
        <w:t>there are no DL subframes left for NPDCCH/NPDSCH or for other signals such as NPRS, MBSFN, or eIMTA</w:t>
      </w:r>
      <w:r w:rsidR="00CF4865" w:rsidRPr="00B35C7D">
        <w:rPr>
          <w:rFonts w:ascii="Times New Roman" w:hAnsi="Times New Roman" w:cs="Times New Roman"/>
          <w:sz w:val="20"/>
          <w:szCs w:val="20"/>
        </w:rPr>
        <w:t xml:space="preserve">. </w:t>
      </w:r>
      <w:r w:rsidR="00BC1B17" w:rsidRPr="00B35C7D">
        <w:rPr>
          <w:rFonts w:ascii="Times New Roman" w:hAnsi="Times New Roman" w:cs="Times New Roman"/>
          <w:sz w:val="20"/>
          <w:szCs w:val="20"/>
        </w:rPr>
        <w:t xml:space="preserve">In RAN1#90bis, the substantial number of UL subframes in TDD configuration #6 was highlighted, which </w:t>
      </w:r>
      <w:r w:rsidR="00896B4F" w:rsidRPr="00B35C7D">
        <w:rPr>
          <w:rFonts w:ascii="Times New Roman" w:hAnsi="Times New Roman" w:cs="Times New Roman"/>
          <w:sz w:val="20"/>
          <w:szCs w:val="20"/>
        </w:rPr>
        <w:t xml:space="preserve">was </w:t>
      </w:r>
      <w:r w:rsidR="00BC1B17" w:rsidRPr="00B35C7D">
        <w:rPr>
          <w:rFonts w:ascii="Times New Roman" w:hAnsi="Times New Roman" w:cs="Times New Roman"/>
          <w:sz w:val="20"/>
          <w:szCs w:val="20"/>
        </w:rPr>
        <w:t>mentioned to be beneficial for IoT systems that are UL heavy. However, the UL traffic needs to be supported by DL scheduling</w:t>
      </w:r>
      <w:r w:rsidR="00896B4F" w:rsidRPr="00B35C7D">
        <w:rPr>
          <w:rFonts w:ascii="Times New Roman" w:hAnsi="Times New Roman" w:cs="Times New Roman"/>
          <w:sz w:val="20"/>
          <w:szCs w:val="20"/>
        </w:rPr>
        <w:t xml:space="preserve"> (even with semi-persistent scheduling (SPS))</w:t>
      </w:r>
      <w:r w:rsidR="00BC1B17" w:rsidRPr="00B35C7D">
        <w:rPr>
          <w:rFonts w:ascii="Times New Roman" w:hAnsi="Times New Roman" w:cs="Times New Roman"/>
          <w:sz w:val="20"/>
          <w:szCs w:val="20"/>
        </w:rPr>
        <w:t>, an</w:t>
      </w:r>
      <w:r w:rsidR="00896B4F" w:rsidRPr="00B35C7D">
        <w:rPr>
          <w:rFonts w:ascii="Times New Roman" w:hAnsi="Times New Roman" w:cs="Times New Roman"/>
          <w:sz w:val="20"/>
          <w:szCs w:val="20"/>
        </w:rPr>
        <w:t>d</w:t>
      </w:r>
      <w:r w:rsidR="00BC1B17" w:rsidRPr="00B35C7D">
        <w:rPr>
          <w:rFonts w:ascii="Times New Roman" w:hAnsi="Times New Roman" w:cs="Times New Roman"/>
          <w:sz w:val="20"/>
          <w:szCs w:val="20"/>
        </w:rPr>
        <w:t xml:space="preserve"> as </w:t>
      </w:r>
      <w:r w:rsidR="008974C6" w:rsidRPr="00B35C7D">
        <w:rPr>
          <w:rFonts w:ascii="Times New Roman" w:hAnsi="Times New Roman" w:cs="Times New Roman"/>
          <w:sz w:val="20"/>
          <w:szCs w:val="20"/>
        </w:rPr>
        <w:t>mentioned earlier</w:t>
      </w:r>
      <w:r w:rsidR="005527BD" w:rsidRPr="00B35C7D">
        <w:rPr>
          <w:rFonts w:ascii="Times New Roman" w:hAnsi="Times New Roman" w:cs="Times New Roman"/>
          <w:sz w:val="20"/>
          <w:szCs w:val="20"/>
        </w:rPr>
        <w:t xml:space="preserve"> for</w:t>
      </w:r>
      <w:r w:rsidR="00BC1B17" w:rsidRPr="00B35C7D">
        <w:rPr>
          <w:rFonts w:ascii="Times New Roman" w:hAnsi="Times New Roman" w:cs="Times New Roman"/>
          <w:sz w:val="20"/>
          <w:szCs w:val="20"/>
        </w:rPr>
        <w:t xml:space="preserve"> TDD configuration #6</w:t>
      </w:r>
      <w:r w:rsidR="00896B4F" w:rsidRPr="00B35C7D">
        <w:rPr>
          <w:rFonts w:ascii="Times New Roman" w:hAnsi="Times New Roman" w:cs="Times New Roman"/>
          <w:sz w:val="20"/>
          <w:szCs w:val="20"/>
        </w:rPr>
        <w:t xml:space="preserve"> (</w:t>
      </w:r>
      <w:r w:rsidR="008974C6" w:rsidRPr="00B35C7D">
        <w:rPr>
          <w:rFonts w:ascii="Times New Roman" w:hAnsi="Times New Roman" w:cs="Times New Roman"/>
          <w:sz w:val="20"/>
          <w:szCs w:val="20"/>
        </w:rPr>
        <w:t xml:space="preserve">depicted </w:t>
      </w:r>
      <w:r w:rsidR="00896B4F" w:rsidRPr="00B35C7D">
        <w:rPr>
          <w:rFonts w:ascii="Times New Roman" w:hAnsi="Times New Roman" w:cs="Times New Roman"/>
          <w:sz w:val="20"/>
          <w:szCs w:val="20"/>
        </w:rPr>
        <w:t>at the bottom</w:t>
      </w:r>
      <w:r w:rsidR="008974C6" w:rsidRPr="00B35C7D">
        <w:rPr>
          <w:rFonts w:ascii="Times New Roman" w:hAnsi="Times New Roman" w:cs="Times New Roman"/>
          <w:sz w:val="20"/>
          <w:szCs w:val="20"/>
        </w:rPr>
        <w:t xml:space="preserve"> of Figure 1</w:t>
      </w:r>
      <w:r w:rsidR="00896B4F" w:rsidRPr="00B35C7D">
        <w:rPr>
          <w:rFonts w:ascii="Times New Roman" w:hAnsi="Times New Roman" w:cs="Times New Roman"/>
          <w:sz w:val="20"/>
          <w:szCs w:val="20"/>
        </w:rPr>
        <w:t>) there are no DL subframes left to be used for NPDCCH or NPDSCH.</w:t>
      </w:r>
      <w:r w:rsidR="00C01D3A" w:rsidRPr="00B35C7D">
        <w:rPr>
          <w:rFonts w:ascii="Times New Roman" w:hAnsi="Times New Roman" w:cs="Times New Roman"/>
          <w:sz w:val="20"/>
          <w:szCs w:val="20"/>
        </w:rPr>
        <w:t xml:space="preserve"> Thus, the support of the TDD configuration #6 seems to be highly dependent on the support of cross-carrier scheduling for TDD NB-IoT.</w:t>
      </w:r>
    </w:p>
    <w:p w14:paraId="43EF4F85" w14:textId="3179ED9F" w:rsidR="00BC1B17" w:rsidRPr="007E09B9" w:rsidRDefault="00896B4F" w:rsidP="00AF67BC">
      <w:pPr>
        <w:jc w:val="both"/>
        <w:rPr>
          <w:rFonts w:ascii="Times New Roman" w:hAnsi="Times New Roman" w:cs="Times New Roman"/>
          <w:sz w:val="20"/>
          <w:szCs w:val="20"/>
        </w:rPr>
      </w:pPr>
      <w:r w:rsidRPr="007E09B9">
        <w:rPr>
          <w:rFonts w:ascii="Times New Roman" w:hAnsi="Times New Roman" w:cs="Times New Roman"/>
          <w:noProof/>
          <w:sz w:val="20"/>
          <w:szCs w:val="20"/>
        </w:rPr>
        <w:lastRenderedPageBreak/>
        <w:drawing>
          <wp:inline distT="0" distB="0" distL="0" distR="0" wp14:anchorId="51A83F66" wp14:editId="694259BF">
            <wp:extent cx="6115050" cy="531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5314950"/>
                    </a:xfrm>
                    <a:prstGeom prst="rect">
                      <a:avLst/>
                    </a:prstGeom>
                    <a:noFill/>
                    <a:ln>
                      <a:noFill/>
                    </a:ln>
                  </pic:spPr>
                </pic:pic>
              </a:graphicData>
            </a:graphic>
          </wp:inline>
        </w:drawing>
      </w:r>
    </w:p>
    <w:p w14:paraId="0F9C4512" w14:textId="2AACBC51" w:rsidR="005527BD" w:rsidRPr="00F03632" w:rsidRDefault="005527BD" w:rsidP="005527BD">
      <w:pPr>
        <w:jc w:val="center"/>
        <w:rPr>
          <w:rFonts w:ascii="Times New Roman" w:hAnsi="Times New Roman" w:cs="Times New Roman"/>
          <w:sz w:val="20"/>
          <w:szCs w:val="20"/>
        </w:rPr>
      </w:pPr>
      <w:r w:rsidRPr="00F03632">
        <w:rPr>
          <w:rFonts w:ascii="Times New Roman" w:hAnsi="Times New Roman" w:cs="Times New Roman"/>
          <w:b/>
          <w:sz w:val="20"/>
          <w:szCs w:val="20"/>
        </w:rPr>
        <w:t xml:space="preserve">Figure </w:t>
      </w:r>
      <w:r w:rsidR="002A2D3D" w:rsidRPr="00F03632">
        <w:rPr>
          <w:rFonts w:ascii="Times New Roman" w:hAnsi="Times New Roman" w:cs="Times New Roman"/>
          <w:b/>
          <w:sz w:val="20"/>
          <w:szCs w:val="20"/>
        </w:rPr>
        <w:t>1</w:t>
      </w:r>
      <w:r w:rsidRPr="00F03632">
        <w:rPr>
          <w:rFonts w:ascii="Times New Roman" w:hAnsi="Times New Roman" w:cs="Times New Roman"/>
          <w:b/>
          <w:sz w:val="20"/>
          <w:szCs w:val="20"/>
        </w:rPr>
        <w:t xml:space="preserve"> Resource mapping for the TDD configurations on the anchor carrier</w:t>
      </w:r>
      <w:r w:rsidRPr="00F03632">
        <w:rPr>
          <w:rFonts w:ascii="Times New Roman" w:hAnsi="Times New Roman" w:cs="Times New Roman"/>
          <w:sz w:val="20"/>
          <w:szCs w:val="20"/>
        </w:rPr>
        <w:t xml:space="preserve"> </w:t>
      </w:r>
      <w:r w:rsidRPr="00F03632">
        <w:rPr>
          <w:rFonts w:ascii="Times New Roman" w:hAnsi="Times New Roman" w:cs="Times New Roman"/>
          <w:b/>
          <w:sz w:val="20"/>
          <w:szCs w:val="20"/>
        </w:rPr>
        <w:t xml:space="preserve">based on the agreements that have been reached until RAN1 #90bis </w:t>
      </w:r>
    </w:p>
    <w:p w14:paraId="16FD3BDF" w14:textId="45740979" w:rsidR="00AF67BC" w:rsidRPr="00B35C7D" w:rsidRDefault="00DE4B90" w:rsidP="00AF67BC">
      <w:pPr>
        <w:jc w:val="both"/>
        <w:rPr>
          <w:rFonts w:ascii="Times New Roman" w:hAnsi="Times New Roman" w:cs="Times New Roman"/>
          <w:sz w:val="18"/>
        </w:rPr>
      </w:pPr>
      <w:r w:rsidRPr="00B35C7D">
        <w:rPr>
          <w:rFonts w:ascii="Times New Roman" w:hAnsi="Times New Roman" w:cs="Times New Roman"/>
          <w:sz w:val="20"/>
          <w:szCs w:val="20"/>
        </w:rPr>
        <w:t>Moreover, i</w:t>
      </w:r>
      <w:r w:rsidR="00CF4865" w:rsidRPr="00B35C7D">
        <w:rPr>
          <w:rFonts w:ascii="Times New Roman" w:hAnsi="Times New Roman" w:cs="Times New Roman"/>
          <w:sz w:val="20"/>
          <w:szCs w:val="20"/>
        </w:rPr>
        <w:t>n ter</w:t>
      </w:r>
      <w:r w:rsidRPr="00B35C7D">
        <w:rPr>
          <w:rFonts w:ascii="Times New Roman" w:hAnsi="Times New Roman" w:cs="Times New Roman"/>
          <w:sz w:val="20"/>
          <w:szCs w:val="20"/>
        </w:rPr>
        <w:t>ms of uplink</w:t>
      </w:r>
      <w:r w:rsidR="00CF4865" w:rsidRPr="00B35C7D">
        <w:rPr>
          <w:rFonts w:ascii="Times New Roman" w:hAnsi="Times New Roman" w:cs="Times New Roman"/>
          <w:sz w:val="20"/>
          <w:szCs w:val="20"/>
        </w:rPr>
        <w:t xml:space="preserve"> the TDD configuration </w:t>
      </w:r>
      <w:r w:rsidR="007549A3" w:rsidRPr="00B35C7D">
        <w:rPr>
          <w:rFonts w:ascii="Times New Roman" w:hAnsi="Times New Roman" w:cs="Times New Roman"/>
          <w:sz w:val="20"/>
          <w:szCs w:val="20"/>
        </w:rPr>
        <w:t>#6</w:t>
      </w:r>
      <w:r w:rsidR="00890D9D" w:rsidRPr="00B35C7D">
        <w:rPr>
          <w:rFonts w:ascii="Times New Roman" w:hAnsi="Times New Roman" w:cs="Times New Roman"/>
          <w:sz w:val="20"/>
          <w:szCs w:val="20"/>
        </w:rPr>
        <w:t xml:space="preserve"> also </w:t>
      </w:r>
      <w:r w:rsidRPr="00B35C7D">
        <w:rPr>
          <w:rFonts w:ascii="Times New Roman" w:hAnsi="Times New Roman" w:cs="Times New Roman"/>
          <w:sz w:val="20"/>
          <w:szCs w:val="20"/>
        </w:rPr>
        <w:t>imposes</w:t>
      </w:r>
      <w:r w:rsidR="00890D9D" w:rsidRPr="00B35C7D">
        <w:rPr>
          <w:rFonts w:ascii="Times New Roman" w:hAnsi="Times New Roman" w:cs="Times New Roman"/>
          <w:sz w:val="20"/>
          <w:szCs w:val="20"/>
        </w:rPr>
        <w:t xml:space="preserve"> some complication</w:t>
      </w:r>
      <w:r w:rsidR="00232D90" w:rsidRPr="00B35C7D">
        <w:rPr>
          <w:rFonts w:ascii="Times New Roman" w:hAnsi="Times New Roman" w:cs="Times New Roman"/>
          <w:sz w:val="20"/>
          <w:szCs w:val="20"/>
        </w:rPr>
        <w:t>s</w:t>
      </w:r>
      <w:r w:rsidRPr="00B35C7D">
        <w:rPr>
          <w:rFonts w:ascii="Times New Roman" w:hAnsi="Times New Roman" w:cs="Times New Roman"/>
          <w:sz w:val="20"/>
          <w:szCs w:val="20"/>
        </w:rPr>
        <w:t xml:space="preserve"> because it counts with an asymmetrical number of UL subframes in each half of a radio frame, which may for NPRACH require either using two different NPRACH formats within </w:t>
      </w:r>
      <w:r w:rsidR="00232D90" w:rsidRPr="00B35C7D">
        <w:rPr>
          <w:rFonts w:ascii="Times New Roman" w:hAnsi="Times New Roman" w:cs="Times New Roman"/>
          <w:sz w:val="20"/>
          <w:szCs w:val="20"/>
        </w:rPr>
        <w:t xml:space="preserve">a </w:t>
      </w:r>
      <w:r w:rsidRPr="00B35C7D">
        <w:rPr>
          <w:rFonts w:ascii="Times New Roman" w:hAnsi="Times New Roman" w:cs="Times New Roman"/>
          <w:sz w:val="20"/>
          <w:szCs w:val="20"/>
        </w:rPr>
        <w:t>radio frame, or in some cases adding rules for using one NPRACH format at a time within a radio. Based on the difficulties that the TDD configuration #6 implies for both, UL and DL, it seems to be better to confirm the working assumption saying “TDD UL:DL configuration 6 is not supported in TDD NB-IoT in Rel-15”.</w:t>
      </w:r>
    </w:p>
    <w:p w14:paraId="6605602D" w14:textId="0DA95E92" w:rsidR="00AF67BC" w:rsidRPr="00B35C7D" w:rsidRDefault="00727050" w:rsidP="00727050">
      <w:pPr>
        <w:rPr>
          <w:rFonts w:ascii="Times New Roman" w:hAnsi="Times New Roman" w:cs="Times New Roman"/>
          <w:b/>
          <w:i/>
          <w:sz w:val="20"/>
        </w:rPr>
      </w:pPr>
      <w:bookmarkStart w:id="2" w:name="Proposal_2"/>
      <w:r w:rsidRPr="00B35C7D">
        <w:rPr>
          <w:rFonts w:ascii="Times New Roman" w:hAnsi="Times New Roman" w:cs="Times New Roman"/>
          <w:b/>
          <w:bCs/>
          <w:i/>
          <w:sz w:val="20"/>
        </w:rPr>
        <w:t xml:space="preserve">Proposal </w:t>
      </w:r>
      <w:r w:rsidR="00C01D3A" w:rsidRPr="00B35C7D">
        <w:rPr>
          <w:rFonts w:ascii="Times New Roman" w:hAnsi="Times New Roman" w:cs="Times New Roman"/>
          <w:b/>
          <w:bCs/>
          <w:i/>
          <w:sz w:val="20"/>
        </w:rPr>
        <w:t>1</w:t>
      </w:r>
      <w:r w:rsidRPr="00B35C7D">
        <w:rPr>
          <w:rFonts w:ascii="Times New Roman" w:hAnsi="Times New Roman" w:cs="Times New Roman"/>
          <w:b/>
          <w:bCs/>
          <w:i/>
          <w:sz w:val="20"/>
        </w:rPr>
        <w:t xml:space="preserve">: </w:t>
      </w:r>
      <w:r w:rsidR="00A81AB1" w:rsidRPr="00B35C7D">
        <w:rPr>
          <w:rFonts w:ascii="Times New Roman" w:hAnsi="Times New Roman" w:cs="Times New Roman"/>
          <w:b/>
          <w:bCs/>
          <w:i/>
          <w:sz w:val="20"/>
        </w:rPr>
        <w:t xml:space="preserve">In Rel-15 </w:t>
      </w:r>
      <w:r w:rsidR="006C13F2" w:rsidRPr="00B35C7D">
        <w:rPr>
          <w:rFonts w:ascii="Times New Roman" w:hAnsi="Times New Roman" w:cs="Times New Roman"/>
          <w:b/>
          <w:bCs/>
          <w:i/>
          <w:sz w:val="20"/>
        </w:rPr>
        <w:t xml:space="preserve">the </w:t>
      </w:r>
      <w:r w:rsidR="00AF67BC" w:rsidRPr="00B35C7D">
        <w:rPr>
          <w:rFonts w:ascii="Times New Roman" w:hAnsi="Times New Roman" w:cs="Times New Roman"/>
          <w:b/>
          <w:bCs/>
          <w:i/>
          <w:sz w:val="20"/>
        </w:rPr>
        <w:t xml:space="preserve">LTE TDD configurations </w:t>
      </w:r>
      <w:r w:rsidR="00C01D3A" w:rsidRPr="00B35C7D">
        <w:rPr>
          <w:rFonts w:ascii="Times New Roman" w:hAnsi="Times New Roman" w:cs="Times New Roman"/>
          <w:b/>
          <w:bCs/>
          <w:i/>
          <w:sz w:val="20"/>
        </w:rPr>
        <w:t xml:space="preserve">supported by TDD NB-IoT are </w:t>
      </w:r>
      <w:r w:rsidR="00AF67BC" w:rsidRPr="00B35C7D">
        <w:rPr>
          <w:rFonts w:ascii="Times New Roman" w:hAnsi="Times New Roman" w:cs="Times New Roman"/>
          <w:b/>
          <w:bCs/>
          <w:i/>
          <w:sz w:val="20"/>
        </w:rPr>
        <w:t>TDD configuration #1, #2, #3, #4</w:t>
      </w:r>
      <w:r w:rsidR="00C01D3A" w:rsidRPr="00B35C7D">
        <w:rPr>
          <w:rFonts w:ascii="Times New Roman" w:hAnsi="Times New Roman" w:cs="Times New Roman"/>
          <w:b/>
          <w:bCs/>
          <w:i/>
          <w:sz w:val="20"/>
        </w:rPr>
        <w:t>, and #5</w:t>
      </w:r>
      <w:r w:rsidR="00AF67BC" w:rsidRPr="00B35C7D">
        <w:rPr>
          <w:rFonts w:ascii="Times New Roman" w:hAnsi="Times New Roman" w:cs="Times New Roman"/>
          <w:b/>
          <w:bCs/>
          <w:i/>
          <w:sz w:val="20"/>
        </w:rPr>
        <w:t>)</w:t>
      </w:r>
      <w:r w:rsidR="00AF67BC" w:rsidRPr="00B35C7D">
        <w:rPr>
          <w:rFonts w:ascii="Times New Roman" w:hAnsi="Times New Roman" w:cs="Times New Roman"/>
          <w:b/>
          <w:i/>
          <w:sz w:val="20"/>
        </w:rPr>
        <w:t xml:space="preserve">. </w:t>
      </w:r>
    </w:p>
    <w:bookmarkEnd w:id="2"/>
    <w:p w14:paraId="1956FD01" w14:textId="390D880B" w:rsidR="00BA0384" w:rsidRPr="007E09B9" w:rsidRDefault="00BA0384" w:rsidP="00BA0384">
      <w:pPr>
        <w:pStyle w:val="Heading2"/>
        <w:rPr>
          <w:rFonts w:ascii="Times New Roman" w:hAnsi="Times New Roman" w:cs="Times New Roman"/>
        </w:rPr>
      </w:pPr>
      <w:r w:rsidRPr="007E09B9">
        <w:rPr>
          <w:rFonts w:ascii="Times New Roman" w:hAnsi="Times New Roman" w:cs="Times New Roman"/>
        </w:rPr>
        <w:t xml:space="preserve">MCL relaxations </w:t>
      </w:r>
      <w:r w:rsidR="001C57F4" w:rsidRPr="007E09B9">
        <w:rPr>
          <w:rFonts w:ascii="Times New Roman" w:hAnsi="Times New Roman" w:cs="Times New Roman"/>
        </w:rPr>
        <w:t>and</w:t>
      </w:r>
      <w:r w:rsidRPr="007E09B9">
        <w:rPr>
          <w:rFonts w:ascii="Times New Roman" w:hAnsi="Times New Roman" w:cs="Times New Roman"/>
        </w:rPr>
        <w:t xml:space="preserve"> capacity targets</w:t>
      </w:r>
    </w:p>
    <w:p w14:paraId="3934C024" w14:textId="08793F99" w:rsidR="00BA0384" w:rsidRPr="00B35C7D" w:rsidRDefault="00BA0384" w:rsidP="007B0268">
      <w:pPr>
        <w:jc w:val="both"/>
        <w:rPr>
          <w:rFonts w:ascii="Times New Roman" w:hAnsi="Times New Roman" w:cs="Times New Roman"/>
          <w:bCs/>
          <w:sz w:val="20"/>
          <w:szCs w:val="20"/>
        </w:rPr>
      </w:pPr>
      <w:r w:rsidRPr="00B35C7D">
        <w:rPr>
          <w:rFonts w:ascii="Times New Roman" w:hAnsi="Times New Roman" w:cs="Times New Roman"/>
          <w:bCs/>
          <w:sz w:val="20"/>
          <w:szCs w:val="20"/>
        </w:rPr>
        <w:t>The coexistence of DL and UL transmissions within the same radio frame will inherently impose significant limitations in terms of resource mapping, which in the end will lead to obtain a different performance as compared to FDD even if the same NB-IoT setup were used. This is the case of the resulting MCL and throughput, which will be impacted by the transmission gaps introduced by the TDD configurations.</w:t>
      </w:r>
    </w:p>
    <w:p w14:paraId="2E89784C" w14:textId="4BBFC582" w:rsidR="00B6521C" w:rsidRPr="00B35C7D" w:rsidRDefault="00B6521C" w:rsidP="007B0268">
      <w:pPr>
        <w:jc w:val="both"/>
        <w:rPr>
          <w:rFonts w:ascii="Times New Roman" w:hAnsi="Times New Roman" w:cs="Times New Roman"/>
          <w:bCs/>
          <w:sz w:val="20"/>
          <w:szCs w:val="20"/>
        </w:rPr>
      </w:pPr>
      <w:r w:rsidRPr="00B35C7D">
        <w:rPr>
          <w:rFonts w:ascii="Times New Roman" w:hAnsi="Times New Roman" w:cs="Times New Roman"/>
          <w:bCs/>
          <w:sz w:val="20"/>
          <w:szCs w:val="20"/>
        </w:rPr>
        <w:t>In RAN1 #90, the following statements associated to MCL targets were agreed:</w:t>
      </w:r>
    </w:p>
    <w:p w14:paraId="2DFC90CE" w14:textId="77777777" w:rsidR="00B6521C" w:rsidRPr="00B35C7D" w:rsidRDefault="00B6521C" w:rsidP="00B6521C">
      <w:pPr>
        <w:rPr>
          <w:rFonts w:ascii="Times New Roman" w:hAnsi="Times New Roman" w:cs="Times New Roman"/>
          <w:bCs/>
          <w:i/>
          <w:sz w:val="20"/>
          <w:szCs w:val="20"/>
        </w:rPr>
      </w:pPr>
      <w:r w:rsidRPr="00B35C7D">
        <w:rPr>
          <w:rFonts w:ascii="Times New Roman" w:hAnsi="Times New Roman" w:cs="Times New Roman"/>
          <w:bCs/>
          <w:i/>
          <w:sz w:val="20"/>
          <w:szCs w:val="20"/>
          <w:highlight w:val="green"/>
        </w:rPr>
        <w:t>Agreements:</w:t>
      </w:r>
    </w:p>
    <w:p w14:paraId="4D4C0A8C" w14:textId="77777777" w:rsidR="00B6521C" w:rsidRPr="00B35C7D" w:rsidRDefault="00B6521C" w:rsidP="00185920">
      <w:pPr>
        <w:numPr>
          <w:ilvl w:val="0"/>
          <w:numId w:val="13"/>
        </w:numPr>
        <w:rPr>
          <w:rFonts w:ascii="Times New Roman" w:hAnsi="Times New Roman" w:cs="Times New Roman"/>
          <w:bCs/>
          <w:i/>
          <w:sz w:val="20"/>
          <w:szCs w:val="20"/>
        </w:rPr>
      </w:pPr>
      <w:r w:rsidRPr="00B35C7D">
        <w:rPr>
          <w:rFonts w:ascii="Times New Roman" w:hAnsi="Times New Roman" w:cs="Times New Roman"/>
          <w:bCs/>
          <w:i/>
          <w:sz w:val="20"/>
          <w:szCs w:val="20"/>
        </w:rPr>
        <w:lastRenderedPageBreak/>
        <w:t>MCL target of 164 dB at an ‘application layer’ data rate of 160 bps is targeted for at least one UL:DL configuration (FFS which one or more than one).</w:t>
      </w:r>
    </w:p>
    <w:p w14:paraId="793D8348" w14:textId="77777777" w:rsidR="00B6521C" w:rsidRPr="00B35C7D" w:rsidRDefault="00B6521C" w:rsidP="00185920">
      <w:pPr>
        <w:numPr>
          <w:ilvl w:val="1"/>
          <w:numId w:val="13"/>
        </w:numPr>
        <w:rPr>
          <w:rFonts w:ascii="Times New Roman" w:hAnsi="Times New Roman" w:cs="Times New Roman"/>
          <w:bCs/>
          <w:i/>
          <w:sz w:val="20"/>
          <w:szCs w:val="20"/>
        </w:rPr>
      </w:pPr>
      <w:r w:rsidRPr="00B35C7D">
        <w:rPr>
          <w:rFonts w:ascii="Times New Roman" w:hAnsi="Times New Roman" w:cs="Times New Roman"/>
          <w:bCs/>
          <w:i/>
          <w:sz w:val="20"/>
          <w:szCs w:val="20"/>
        </w:rPr>
        <w:t>NOTE: The at least one UL:DL configuration may or may not be different for UL MCL target than DL MCL target</w:t>
      </w:r>
    </w:p>
    <w:p w14:paraId="6948726B" w14:textId="36F2375E" w:rsidR="00465035" w:rsidRPr="00B35C7D" w:rsidRDefault="00465035"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According to the WID that </w:t>
      </w:r>
    </w:p>
    <w:p w14:paraId="26444F08" w14:textId="77777777" w:rsidR="00465035" w:rsidRPr="00B35C7D" w:rsidRDefault="00465035" w:rsidP="001657E8">
      <w:pPr>
        <w:spacing w:after="0" w:line="240" w:lineRule="auto"/>
        <w:jc w:val="both"/>
        <w:rPr>
          <w:rFonts w:ascii="Times New Roman" w:eastAsia="Times New Roman" w:hAnsi="Times New Roman" w:cs="Times New Roman"/>
          <w:sz w:val="20"/>
        </w:rPr>
      </w:pPr>
    </w:p>
    <w:p w14:paraId="09EFD986" w14:textId="265B6A41" w:rsidR="004A7990" w:rsidRPr="00B35C7D" w:rsidRDefault="00465035"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w:t>
      </w:r>
      <w:r w:rsidRPr="00B35C7D">
        <w:rPr>
          <w:rFonts w:ascii="Times New Roman" w:eastAsia="Times New Roman" w:hAnsi="Times New Roman" w:cs="Times New Roman"/>
          <w:i/>
          <w:sz w:val="20"/>
        </w:rPr>
        <w:t>Relaxations of MCL and/or latency and/or capacity targets to be considered by RAN1</w:t>
      </w:r>
      <w:r w:rsidRPr="00B35C7D">
        <w:rPr>
          <w:rFonts w:ascii="Times New Roman" w:eastAsia="Times New Roman" w:hAnsi="Times New Roman" w:cs="Times New Roman"/>
          <w:sz w:val="20"/>
        </w:rPr>
        <w:t>.”</w:t>
      </w:r>
    </w:p>
    <w:p w14:paraId="74E841AC" w14:textId="77777777" w:rsidR="00465035" w:rsidRPr="00B35C7D" w:rsidRDefault="00465035" w:rsidP="001657E8">
      <w:pPr>
        <w:spacing w:after="0" w:line="240" w:lineRule="auto"/>
        <w:jc w:val="both"/>
        <w:rPr>
          <w:rFonts w:ascii="Times New Roman" w:eastAsia="Times New Roman" w:hAnsi="Times New Roman" w:cs="Times New Roman"/>
          <w:sz w:val="20"/>
        </w:rPr>
      </w:pPr>
    </w:p>
    <w:p w14:paraId="1A1AD9E6" w14:textId="1769F81F" w:rsidR="004A7990" w:rsidRPr="00B35C7D" w:rsidRDefault="00465035"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Since t</w:t>
      </w:r>
      <w:r w:rsidR="004A7990" w:rsidRPr="00B35C7D">
        <w:rPr>
          <w:rFonts w:ascii="Times New Roman" w:eastAsia="Times New Roman" w:hAnsi="Times New Roman" w:cs="Times New Roman"/>
          <w:sz w:val="20"/>
        </w:rPr>
        <w:t>he coverage enhancement of NB-IoT is done through repetitions</w:t>
      </w:r>
      <w:r w:rsidRPr="00B35C7D">
        <w:rPr>
          <w:rFonts w:ascii="Times New Roman" w:eastAsia="Times New Roman" w:hAnsi="Times New Roman" w:cs="Times New Roman"/>
          <w:sz w:val="20"/>
        </w:rPr>
        <w:t xml:space="preserve">, </w:t>
      </w:r>
      <w:r w:rsidR="004A7990" w:rsidRPr="00B35C7D">
        <w:rPr>
          <w:rFonts w:ascii="Times New Roman" w:eastAsia="Times New Roman" w:hAnsi="Times New Roman" w:cs="Times New Roman"/>
          <w:sz w:val="20"/>
        </w:rPr>
        <w:t xml:space="preserve">it is expected that the number of repetitions of NB-IoT TDD design </w:t>
      </w:r>
      <w:r w:rsidRPr="00B35C7D">
        <w:rPr>
          <w:rFonts w:ascii="Times New Roman" w:eastAsia="Times New Roman" w:hAnsi="Times New Roman" w:cs="Times New Roman"/>
          <w:sz w:val="20"/>
        </w:rPr>
        <w:t xml:space="preserve">is not reduced comparing to NB-IoT FDD. Therefore, the MCL target of 164 dB can be met without any problem. However, the latency requirement may need to be relaxed, at least for some of the TDD configurations. </w:t>
      </w:r>
    </w:p>
    <w:p w14:paraId="77E2ABF3" w14:textId="77777777" w:rsidR="00465035" w:rsidRPr="00B35C7D" w:rsidRDefault="00465035" w:rsidP="001657E8">
      <w:pPr>
        <w:spacing w:after="0" w:line="240" w:lineRule="auto"/>
        <w:jc w:val="both"/>
        <w:rPr>
          <w:rFonts w:ascii="Times New Roman" w:eastAsia="Times New Roman" w:hAnsi="Times New Roman" w:cs="Times New Roman"/>
          <w:sz w:val="20"/>
        </w:rPr>
      </w:pPr>
    </w:p>
    <w:p w14:paraId="3974D5D8" w14:textId="7A2DA988" w:rsidR="004A7990" w:rsidRPr="00B35C7D" w:rsidRDefault="004A7990"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Following the </w:t>
      </w:r>
      <w:r w:rsidR="00465035" w:rsidRPr="00B35C7D">
        <w:rPr>
          <w:rFonts w:ascii="Times New Roman" w:eastAsia="Times New Roman" w:hAnsi="Times New Roman" w:cs="Times New Roman"/>
          <w:sz w:val="20"/>
        </w:rPr>
        <w:t xml:space="preserve">same </w:t>
      </w:r>
      <w:r w:rsidRPr="00B35C7D">
        <w:rPr>
          <w:rFonts w:ascii="Times New Roman" w:eastAsia="Times New Roman" w:hAnsi="Times New Roman" w:cs="Times New Roman"/>
          <w:sz w:val="20"/>
        </w:rPr>
        <w:t>methodology</w:t>
      </w:r>
      <w:r w:rsidR="00465035" w:rsidRPr="00B35C7D">
        <w:rPr>
          <w:rFonts w:ascii="Times New Roman" w:eastAsia="Times New Roman" w:hAnsi="Times New Roman" w:cs="Times New Roman"/>
          <w:sz w:val="20"/>
        </w:rPr>
        <w:t xml:space="preserve"> used in NB-IoT FDD [</w:t>
      </w:r>
      <w:r w:rsidR="000B495A">
        <w:rPr>
          <w:rFonts w:ascii="Times New Roman" w:eastAsia="Times New Roman" w:hAnsi="Times New Roman" w:cs="Times New Roman"/>
          <w:sz w:val="20"/>
        </w:rPr>
        <w:t>7</w:t>
      </w:r>
      <w:r w:rsidR="00465035" w:rsidRPr="00B35C7D">
        <w:rPr>
          <w:rFonts w:ascii="Times New Roman" w:eastAsia="Times New Roman" w:hAnsi="Times New Roman" w:cs="Times New Roman"/>
          <w:sz w:val="20"/>
        </w:rPr>
        <w:t>]</w:t>
      </w:r>
      <w:r w:rsidRPr="00B35C7D">
        <w:rPr>
          <w:rFonts w:ascii="Times New Roman" w:eastAsia="Times New Roman" w:hAnsi="Times New Roman" w:cs="Times New Roman"/>
          <w:sz w:val="20"/>
        </w:rPr>
        <w:t xml:space="preserve">, we evaluate the </w:t>
      </w:r>
      <w:r w:rsidR="00465035" w:rsidRPr="00B35C7D">
        <w:rPr>
          <w:rFonts w:ascii="Times New Roman" w:eastAsia="Times New Roman" w:hAnsi="Times New Roman" w:cs="Times New Roman"/>
          <w:sz w:val="20"/>
        </w:rPr>
        <w:t>exceptional report latency for the</w:t>
      </w:r>
      <w:r w:rsidR="003D58BB" w:rsidRPr="00B35C7D">
        <w:rPr>
          <w:rFonts w:ascii="Times New Roman" w:eastAsia="Times New Roman" w:hAnsi="Times New Roman" w:cs="Times New Roman"/>
          <w:sz w:val="20"/>
        </w:rPr>
        <w:t xml:space="preserve"> TDD configurations. In</w:t>
      </w:r>
      <w:r w:rsidR="0035444D">
        <w:rPr>
          <w:rFonts w:ascii="Times New Roman" w:eastAsia="Times New Roman" w:hAnsi="Times New Roman" w:cs="Times New Roman"/>
          <w:sz w:val="20"/>
        </w:rPr>
        <w:t xml:space="preserve"> Figure 2</w:t>
      </w:r>
      <w:r w:rsidR="00465035" w:rsidRPr="00B35C7D">
        <w:rPr>
          <w:rFonts w:ascii="Times New Roman" w:eastAsia="Times New Roman" w:hAnsi="Times New Roman" w:cs="Times New Roman"/>
          <w:sz w:val="20"/>
        </w:rPr>
        <w:t>, the different steps of delivering an exception report are depicted. We only show the latency evaluation at the</w:t>
      </w:r>
      <w:r w:rsidR="003D58BB" w:rsidRPr="00B35C7D">
        <w:rPr>
          <w:rFonts w:ascii="Times New Roman" w:eastAsia="Times New Roman" w:hAnsi="Times New Roman" w:cs="Times New Roman"/>
          <w:sz w:val="20"/>
        </w:rPr>
        <w:t xml:space="preserve"> 164 dB MCL standalone case, and we show the 90% confidence level.  </w:t>
      </w:r>
    </w:p>
    <w:p w14:paraId="2AAAC151" w14:textId="7F3686DB" w:rsidR="003D58BB" w:rsidRPr="00B35C7D" w:rsidRDefault="003D58BB" w:rsidP="001657E8">
      <w:pPr>
        <w:spacing w:after="0" w:line="240" w:lineRule="auto"/>
        <w:jc w:val="both"/>
        <w:rPr>
          <w:rFonts w:ascii="Times New Roman" w:eastAsia="Times New Roman" w:hAnsi="Times New Roman" w:cs="Times New Roman"/>
          <w:sz w:val="20"/>
        </w:rPr>
      </w:pPr>
    </w:p>
    <w:p w14:paraId="383E136B" w14:textId="77777777" w:rsidR="003D58BB" w:rsidRPr="007E09B9" w:rsidRDefault="003D58BB" w:rsidP="003D58BB">
      <w:pPr>
        <w:keepNext/>
        <w:spacing w:after="0" w:line="240" w:lineRule="auto"/>
        <w:jc w:val="center"/>
        <w:rPr>
          <w:rFonts w:ascii="Times New Roman" w:hAnsi="Times New Roman" w:cs="Times New Roman"/>
        </w:rPr>
      </w:pPr>
      <w:r w:rsidRPr="004248BC">
        <w:rPr>
          <w:rFonts w:ascii="Times New Roman" w:hAnsi="Times New Roman" w:cs="Times New Roman"/>
        </w:rPr>
        <w:object w:dxaOrig="6572" w:dyaOrig="825" w14:anchorId="45961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46.5pt" o:ole="">
            <v:imagedata r:id="rId9" o:title=""/>
          </v:shape>
          <o:OLEObject Type="Embed" ProgID="Visio.Drawing.11" ShapeID="_x0000_i1025" DrawAspect="Content" ObjectID="_1584527039" r:id="rId10"/>
        </w:object>
      </w:r>
    </w:p>
    <w:p w14:paraId="407BB4E1" w14:textId="01BC7C50" w:rsidR="003D58BB" w:rsidRPr="00F03632" w:rsidRDefault="003D58BB" w:rsidP="00F03632">
      <w:pPr>
        <w:jc w:val="center"/>
        <w:rPr>
          <w:rFonts w:ascii="Times New Roman" w:hAnsi="Times New Roman" w:cs="Times New Roman"/>
          <w:b/>
          <w:sz w:val="20"/>
          <w:szCs w:val="20"/>
        </w:rPr>
      </w:pPr>
      <w:bookmarkStart w:id="3" w:name="_Ref494195452"/>
      <w:r w:rsidRPr="00F03632">
        <w:rPr>
          <w:rFonts w:ascii="Times New Roman" w:hAnsi="Times New Roman" w:cs="Times New Roman"/>
          <w:b/>
          <w:sz w:val="20"/>
          <w:szCs w:val="20"/>
        </w:rPr>
        <w:t xml:space="preserve">Figure </w:t>
      </w:r>
      <w:bookmarkEnd w:id="3"/>
      <w:r w:rsidR="0035444D" w:rsidRPr="00F03632">
        <w:rPr>
          <w:rFonts w:ascii="Times New Roman" w:hAnsi="Times New Roman" w:cs="Times New Roman"/>
          <w:b/>
          <w:sz w:val="20"/>
          <w:szCs w:val="20"/>
        </w:rPr>
        <w:t>2</w:t>
      </w:r>
      <w:r w:rsidRPr="00F03632">
        <w:rPr>
          <w:rFonts w:ascii="Times New Roman" w:hAnsi="Times New Roman" w:cs="Times New Roman"/>
          <w:b/>
          <w:sz w:val="20"/>
          <w:szCs w:val="20"/>
        </w:rPr>
        <w:t xml:space="preserve"> Illustration of steps required during an exception reporting event</w:t>
      </w:r>
    </w:p>
    <w:p w14:paraId="550902A0" w14:textId="581E89B8" w:rsidR="007F6373" w:rsidRPr="00B35C7D" w:rsidRDefault="003D58BB"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As it is expected the synchronization design of NB-IoT TDD should have the same performance as the NB-IoT FDD, we can directly use the synchronization time from the NB-IoT FDD design. At 164 dB MCL, they synchronization time for 90% of the UEs is 364 ms for the standalone. </w:t>
      </w:r>
      <w:r w:rsidR="007F6373" w:rsidRPr="00B35C7D">
        <w:rPr>
          <w:rFonts w:ascii="Times New Roman" w:eastAsia="Times New Roman" w:hAnsi="Times New Roman" w:cs="Times New Roman"/>
          <w:sz w:val="20"/>
        </w:rPr>
        <w:t xml:space="preserve">The MIB acquisition time depends on the TDD configurations. As discussed in RAN#90, for some TDD configuration#0, it is not possible to have the same NPBCH density as it is in FDD. Therefore, for TDD configuration#0, we as an estimation, we assume the NPBCH acquisition time is doubled. For MIB reception time it is assumed that 1/1/4 code sub-blocks are needed for reception at 144/154/164 dB coupling loss. Each code sub-block is repeated 8 times and spread over an 80 ms interval (one repetition in each subframe 0). For terminals with 164 dB coupling loss, four code sub-blocks are required to decode MIB.  However, since MIB is updated in every TTI (640 ms), the four code sub-blocks must be in the same TTI in order for decoding to succeed. In the worst case, waiting until this condition is fulfilled causes an extra delay of four code-sub blocks, or 4*80=320 ms.  Reading the four code sub-block then takes 3*80+71=311 ms. Thus the total required time is 320+311=631 ms. </w:t>
      </w:r>
    </w:p>
    <w:p w14:paraId="0F90FEBE" w14:textId="2CEFF5E8" w:rsidR="007F6373" w:rsidRPr="00B35C7D" w:rsidRDefault="007F6373" w:rsidP="001657E8">
      <w:pPr>
        <w:spacing w:after="0" w:line="240" w:lineRule="auto"/>
        <w:jc w:val="both"/>
        <w:rPr>
          <w:rFonts w:ascii="Times New Roman" w:eastAsia="Times New Roman" w:hAnsi="Times New Roman" w:cs="Times New Roman"/>
          <w:sz w:val="20"/>
        </w:rPr>
      </w:pPr>
    </w:p>
    <w:p w14:paraId="12FC1642" w14:textId="05182AC5" w:rsidR="00053FC9" w:rsidRPr="00B35C7D" w:rsidRDefault="007F6373" w:rsidP="00053FC9">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After acquiring the MIB, the UE needs to perform </w:t>
      </w:r>
      <w:r w:rsidR="00053FC9" w:rsidRPr="00B35C7D">
        <w:rPr>
          <w:rFonts w:ascii="Times New Roman" w:eastAsia="Times New Roman" w:hAnsi="Times New Roman" w:cs="Times New Roman"/>
          <w:sz w:val="20"/>
        </w:rPr>
        <w:t>random access. In NB-IoT, the same four-step random access procedure as in LTE is followed:</w:t>
      </w:r>
    </w:p>
    <w:p w14:paraId="0B2D8623" w14:textId="77777777" w:rsidR="00053FC9" w:rsidRPr="00B35C7D" w:rsidRDefault="00053FC9" w:rsidP="00053FC9">
      <w:pPr>
        <w:spacing w:after="0" w:line="240" w:lineRule="auto"/>
        <w:jc w:val="both"/>
        <w:rPr>
          <w:rFonts w:ascii="Times New Roman" w:eastAsia="Times New Roman" w:hAnsi="Times New Roman" w:cs="Times New Roman"/>
          <w:sz w:val="20"/>
        </w:rPr>
      </w:pPr>
    </w:p>
    <w:p w14:paraId="6BEEA7BC" w14:textId="077D05C6" w:rsidR="00053FC9" w:rsidRPr="00B35C7D"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Msg 1: UL: Random access preamble on PRACH</w:t>
      </w:r>
    </w:p>
    <w:p w14:paraId="3DA5B542" w14:textId="42BF2A7F" w:rsidR="00053FC9" w:rsidRPr="00B35C7D"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Msg 2: DL: Random access response (C-RNTI, TA, uplink grant)</w:t>
      </w:r>
    </w:p>
    <w:p w14:paraId="1927766D" w14:textId="0BD27036" w:rsidR="00053FC9" w:rsidRPr="00B35C7D"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Msg 3: UL: “Connection request” (TLLI, Access cause, BSR)</w:t>
      </w:r>
    </w:p>
    <w:p w14:paraId="1CB7662D" w14:textId="405F0675" w:rsidR="00053FC9" w:rsidRPr="00B35C7D"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Msg 4: DL: Contention resolution message (copy of TLLI)</w:t>
      </w:r>
    </w:p>
    <w:p w14:paraId="18878721" w14:textId="77777777" w:rsidR="00620C56" w:rsidRPr="00B35C7D" w:rsidRDefault="00620C56" w:rsidP="00620C56">
      <w:pPr>
        <w:pStyle w:val="ListParagraph"/>
        <w:spacing w:after="0" w:line="240" w:lineRule="auto"/>
        <w:ind w:left="1650"/>
        <w:jc w:val="both"/>
        <w:rPr>
          <w:rFonts w:ascii="Times New Roman" w:eastAsia="Times New Roman" w:hAnsi="Times New Roman" w:cs="Times New Roman"/>
          <w:sz w:val="20"/>
        </w:rPr>
      </w:pPr>
    </w:p>
    <w:p w14:paraId="375AEB0A" w14:textId="5ADA6B23" w:rsidR="004A7990" w:rsidRPr="00B35C7D" w:rsidRDefault="00053FC9"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The NPRACH preamble design in NB-IoT TDD has not started yet. Hence, in this evaluation, we use the single tone design in NB-IoT FDD as a reference to estimate the time required for NB-IoT TDD NPRACH, and fits the required number of repetitions to the UL resources available in each of the TDD configurations.  We assume the UE sends NPRACH in the next available NPRACH slot. </w:t>
      </w:r>
      <w:r w:rsidR="00D601B2" w:rsidRPr="00B35C7D">
        <w:rPr>
          <w:rFonts w:ascii="Times New Roman" w:eastAsia="Times New Roman" w:hAnsi="Times New Roman" w:cs="Times New Roman"/>
          <w:sz w:val="20"/>
        </w:rPr>
        <w:t xml:space="preserve">Therefore, for the worst case, it takes at most one NPRACH period as the waiting time before the UE can send NPRACH. </w:t>
      </w:r>
      <w:r w:rsidR="00FB768E" w:rsidRPr="00B35C7D">
        <w:rPr>
          <w:rFonts w:ascii="Times New Roman" w:eastAsia="Times New Roman" w:hAnsi="Times New Roman" w:cs="Times New Roman"/>
          <w:sz w:val="20"/>
        </w:rPr>
        <w:t>In NB-IoT FDD, for</w:t>
      </w:r>
      <w:r w:rsidRPr="00B35C7D">
        <w:rPr>
          <w:rFonts w:ascii="Times New Roman" w:eastAsia="Times New Roman" w:hAnsi="Times New Roman" w:cs="Times New Roman"/>
          <w:sz w:val="20"/>
        </w:rPr>
        <w:t xml:space="preserve"> UEs with 164 dB coupling loss, the preamble transmission takes 32 repetitions</w:t>
      </w:r>
      <w:r w:rsidR="00FB768E" w:rsidRPr="00B35C7D">
        <w:rPr>
          <w:rFonts w:ascii="Times New Roman" w:eastAsia="Times New Roman" w:hAnsi="Times New Roman" w:cs="Times New Roman"/>
          <w:sz w:val="20"/>
        </w:rPr>
        <w:t xml:space="preserve">. </w:t>
      </w:r>
      <w:r w:rsidR="00316641" w:rsidRPr="00B35C7D">
        <w:rPr>
          <w:rFonts w:ascii="Times New Roman" w:eastAsia="Times New Roman" w:hAnsi="Times New Roman" w:cs="Times New Roman"/>
          <w:sz w:val="20"/>
        </w:rPr>
        <w:t>We assume 4 ms waiting time</w:t>
      </w:r>
      <w:r w:rsidR="00BA145A" w:rsidRPr="00B35C7D">
        <w:rPr>
          <w:rFonts w:ascii="Times New Roman" w:eastAsia="Times New Roman" w:hAnsi="Times New Roman" w:cs="Times New Roman"/>
          <w:sz w:val="20"/>
        </w:rPr>
        <w:t xml:space="preserve"> before the random-access response (RA) window starts.</w:t>
      </w:r>
      <w:r w:rsidR="00DF6B15" w:rsidRPr="00B35C7D">
        <w:rPr>
          <w:rFonts w:ascii="Times New Roman" w:eastAsia="Times New Roman" w:hAnsi="Times New Roman" w:cs="Times New Roman"/>
          <w:sz w:val="20"/>
        </w:rPr>
        <w:t xml:space="preserve"> To fit the NPRACH preambles to the available consecutive UL subframes, we </w:t>
      </w:r>
      <w:r w:rsidR="000B495A">
        <w:rPr>
          <w:rFonts w:ascii="Times New Roman" w:eastAsia="Times New Roman" w:hAnsi="Times New Roman" w:cs="Times New Roman"/>
          <w:sz w:val="20"/>
        </w:rPr>
        <w:t>use the recently agreed NPRACH formats</w:t>
      </w:r>
      <w:r w:rsidR="00DF6B15" w:rsidRPr="00B35C7D">
        <w:rPr>
          <w:rFonts w:ascii="Times New Roman" w:eastAsia="Times New Roman" w:hAnsi="Times New Roman" w:cs="Times New Roman"/>
          <w:sz w:val="20"/>
        </w:rPr>
        <w:t xml:space="preserve"> [</w:t>
      </w:r>
      <w:r w:rsidR="001A1BB7" w:rsidRPr="00B35C7D">
        <w:rPr>
          <w:rFonts w:ascii="Times New Roman" w:eastAsia="Times New Roman" w:hAnsi="Times New Roman" w:cs="Times New Roman"/>
          <w:sz w:val="20"/>
        </w:rPr>
        <w:t>4</w:t>
      </w:r>
      <w:r w:rsidR="00DF6B15" w:rsidRPr="00B35C7D">
        <w:rPr>
          <w:rFonts w:ascii="Times New Roman" w:eastAsia="Times New Roman" w:hAnsi="Times New Roman" w:cs="Times New Roman"/>
          <w:sz w:val="20"/>
        </w:rPr>
        <w:t xml:space="preserve">].  The NPRACH transmission time is estimated based on the NB-IoT FDD performance, not based on simulations. </w:t>
      </w:r>
    </w:p>
    <w:p w14:paraId="20E1107E" w14:textId="77777777" w:rsidR="004A7990" w:rsidRPr="00B35C7D" w:rsidRDefault="004A7990" w:rsidP="001657E8">
      <w:pPr>
        <w:spacing w:after="0" w:line="240" w:lineRule="auto"/>
        <w:jc w:val="both"/>
        <w:rPr>
          <w:rFonts w:ascii="Times New Roman" w:eastAsia="Times New Roman" w:hAnsi="Times New Roman" w:cs="Times New Roman"/>
          <w:sz w:val="20"/>
        </w:rPr>
      </w:pPr>
    </w:p>
    <w:p w14:paraId="6A37ED56" w14:textId="708EB1BA" w:rsidR="00FB768E" w:rsidRPr="00B35C7D" w:rsidRDefault="00FB768E"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The time required for RA mgs2-4 transmission can be calculated directly from the NB-IoT FDD design. We assume the UE gets the NPDCCH </w:t>
      </w:r>
      <w:r w:rsidR="00182BB2" w:rsidRPr="00B35C7D">
        <w:rPr>
          <w:rFonts w:ascii="Times New Roman" w:eastAsia="Times New Roman" w:hAnsi="Times New Roman" w:cs="Times New Roman"/>
          <w:sz w:val="20"/>
        </w:rPr>
        <w:t xml:space="preserve">assignment immediately </w:t>
      </w:r>
      <w:r w:rsidR="00157302" w:rsidRPr="00B35C7D">
        <w:rPr>
          <w:rFonts w:ascii="Times New Roman" w:eastAsia="Times New Roman" w:hAnsi="Times New Roman" w:cs="Times New Roman"/>
          <w:sz w:val="20"/>
        </w:rPr>
        <w:t>in the beginning of the USS</w:t>
      </w:r>
      <w:r w:rsidR="00182BB2" w:rsidRPr="00B35C7D">
        <w:rPr>
          <w:rFonts w:ascii="Times New Roman" w:eastAsia="Times New Roman" w:hAnsi="Times New Roman" w:cs="Times New Roman"/>
          <w:sz w:val="20"/>
        </w:rPr>
        <w:t>.</w:t>
      </w:r>
      <w:r w:rsidR="00157302" w:rsidRPr="00B35C7D">
        <w:rPr>
          <w:rFonts w:ascii="Times New Roman" w:eastAsia="Times New Roman" w:hAnsi="Times New Roman" w:cs="Times New Roman"/>
          <w:sz w:val="20"/>
        </w:rPr>
        <w:t xml:space="preserve"> In addition, we assume T = 1.5 and Rmax = 128, for the USS configuration</w:t>
      </w:r>
      <w:r w:rsidR="003D3A04" w:rsidRPr="00B35C7D">
        <w:rPr>
          <w:rFonts w:ascii="Times New Roman" w:eastAsia="Times New Roman" w:hAnsi="Times New Roman" w:cs="Times New Roman"/>
          <w:sz w:val="20"/>
        </w:rPr>
        <w:t xml:space="preserve"> only counting the DL subframes</w:t>
      </w:r>
      <w:r w:rsidR="00157302" w:rsidRPr="00B35C7D">
        <w:rPr>
          <w:rFonts w:ascii="Times New Roman" w:eastAsia="Times New Roman" w:hAnsi="Times New Roman" w:cs="Times New Roman"/>
          <w:sz w:val="20"/>
        </w:rPr>
        <w:t xml:space="preserve">. For the worst case, the UE needs to wait for 128*1.5 = 192 ms for the NPDCCH. </w:t>
      </w:r>
      <w:r w:rsidR="001D5F6B" w:rsidRPr="00B35C7D">
        <w:rPr>
          <w:rFonts w:ascii="Times New Roman" w:eastAsia="Times New Roman" w:hAnsi="Times New Roman" w:cs="Times New Roman"/>
          <w:sz w:val="20"/>
        </w:rPr>
        <w:t>W</w:t>
      </w:r>
      <w:r w:rsidR="00660C00" w:rsidRPr="00B35C7D">
        <w:rPr>
          <w:rFonts w:ascii="Times New Roman" w:eastAsia="Times New Roman" w:hAnsi="Times New Roman" w:cs="Times New Roman"/>
          <w:sz w:val="20"/>
        </w:rPr>
        <w:t xml:space="preserve">e assume the other timing relationships </w:t>
      </w:r>
      <w:r w:rsidR="001D5F6B" w:rsidRPr="00B35C7D">
        <w:rPr>
          <w:rFonts w:ascii="Times New Roman" w:eastAsia="Times New Roman" w:hAnsi="Times New Roman" w:cs="Times New Roman"/>
          <w:sz w:val="20"/>
        </w:rPr>
        <w:t xml:space="preserve">are the same as </w:t>
      </w:r>
      <w:r w:rsidR="00660C00" w:rsidRPr="00B35C7D">
        <w:rPr>
          <w:rFonts w:ascii="Times New Roman" w:eastAsia="Times New Roman" w:hAnsi="Times New Roman" w:cs="Times New Roman"/>
          <w:sz w:val="20"/>
        </w:rPr>
        <w:t xml:space="preserve">used in NB-IoT FDD. </w:t>
      </w:r>
      <w:r w:rsidR="001D5F6B" w:rsidRPr="00B35C7D">
        <w:rPr>
          <w:rFonts w:ascii="Times New Roman" w:eastAsia="Times New Roman" w:hAnsi="Times New Roman" w:cs="Times New Roman"/>
          <w:sz w:val="20"/>
        </w:rPr>
        <w:t xml:space="preserve">The size of the messages and the required transmission time in NB-IoT FDD are given in </w:t>
      </w:r>
      <w:r w:rsidR="001D5F6B" w:rsidRPr="00B35C7D">
        <w:rPr>
          <w:rFonts w:ascii="Times New Roman" w:eastAsia="Times New Roman" w:hAnsi="Times New Roman" w:cs="Times New Roman"/>
          <w:sz w:val="20"/>
        </w:rPr>
        <w:fldChar w:fldCharType="begin"/>
      </w:r>
      <w:r w:rsidR="001D5F6B" w:rsidRPr="00B35C7D">
        <w:rPr>
          <w:rFonts w:ascii="Times New Roman" w:eastAsia="Times New Roman" w:hAnsi="Times New Roman" w:cs="Times New Roman"/>
          <w:sz w:val="20"/>
        </w:rPr>
        <w:instrText xml:space="preserve"> REF _Ref494203858 \h  \* MERGEFORMAT </w:instrText>
      </w:r>
      <w:r w:rsidR="001D5F6B" w:rsidRPr="00B35C7D">
        <w:rPr>
          <w:rFonts w:ascii="Times New Roman" w:eastAsia="Times New Roman" w:hAnsi="Times New Roman" w:cs="Times New Roman"/>
          <w:sz w:val="20"/>
        </w:rPr>
      </w:r>
      <w:r w:rsidR="001D5F6B" w:rsidRPr="00B35C7D">
        <w:rPr>
          <w:rFonts w:ascii="Times New Roman" w:eastAsia="Times New Roman" w:hAnsi="Times New Roman" w:cs="Times New Roman"/>
          <w:sz w:val="20"/>
        </w:rPr>
        <w:fldChar w:fldCharType="separate"/>
      </w:r>
      <w:r w:rsidR="00324A88" w:rsidRPr="00324A88">
        <w:rPr>
          <w:rFonts w:ascii="Times New Roman" w:eastAsia="Times New Roman" w:hAnsi="Times New Roman" w:cs="Times New Roman"/>
          <w:sz w:val="20"/>
        </w:rPr>
        <w:t>Table 2</w:t>
      </w:r>
      <w:r w:rsidR="001D5F6B" w:rsidRPr="00B35C7D">
        <w:rPr>
          <w:rFonts w:ascii="Times New Roman" w:eastAsia="Times New Roman" w:hAnsi="Times New Roman" w:cs="Times New Roman"/>
          <w:sz w:val="20"/>
        </w:rPr>
        <w:fldChar w:fldCharType="end"/>
      </w:r>
      <w:r w:rsidR="001D5F6B" w:rsidRPr="00B35C7D">
        <w:rPr>
          <w:rFonts w:ascii="Times New Roman" w:eastAsia="Times New Roman" w:hAnsi="Times New Roman" w:cs="Times New Roman"/>
          <w:sz w:val="20"/>
        </w:rPr>
        <w:t xml:space="preserve">. </w:t>
      </w:r>
    </w:p>
    <w:p w14:paraId="0341E04C" w14:textId="670B21B5" w:rsidR="004A7990" w:rsidRPr="00B35C7D" w:rsidRDefault="004A7990" w:rsidP="001657E8">
      <w:pPr>
        <w:spacing w:after="0" w:line="240" w:lineRule="auto"/>
        <w:jc w:val="both"/>
        <w:rPr>
          <w:rFonts w:ascii="Times New Roman" w:eastAsia="Times New Roman" w:hAnsi="Times New Roman" w:cs="Times New Roman"/>
          <w:sz w:val="20"/>
        </w:rPr>
      </w:pPr>
    </w:p>
    <w:p w14:paraId="7C5F1E1B" w14:textId="48609887" w:rsidR="00270039" w:rsidRPr="00B35C7D" w:rsidRDefault="00270039" w:rsidP="00270039">
      <w:pPr>
        <w:pStyle w:val="Caption"/>
        <w:keepNext/>
        <w:jc w:val="center"/>
        <w:rPr>
          <w:rFonts w:ascii="Times New Roman" w:eastAsia="Times New Roman" w:hAnsi="Times New Roman" w:cs="Times New Roman"/>
          <w:b/>
          <w:bCs w:val="0"/>
          <w:sz w:val="20"/>
        </w:rPr>
      </w:pPr>
      <w:bookmarkStart w:id="4" w:name="_Ref494203858"/>
      <w:r w:rsidRPr="00B35C7D">
        <w:rPr>
          <w:rFonts w:ascii="Times New Roman" w:eastAsia="Times New Roman" w:hAnsi="Times New Roman" w:cs="Times New Roman"/>
          <w:b/>
          <w:bCs w:val="0"/>
          <w:sz w:val="20"/>
        </w:rPr>
        <w:lastRenderedPageBreak/>
        <w:t xml:space="preserve">Table </w:t>
      </w:r>
      <w:r w:rsidRPr="00B35C7D">
        <w:rPr>
          <w:rFonts w:ascii="Times New Roman" w:eastAsia="Times New Roman" w:hAnsi="Times New Roman" w:cs="Times New Roman"/>
          <w:b/>
          <w:bCs w:val="0"/>
          <w:sz w:val="20"/>
        </w:rPr>
        <w:fldChar w:fldCharType="begin"/>
      </w:r>
      <w:r w:rsidRPr="00B35C7D">
        <w:rPr>
          <w:rFonts w:ascii="Times New Roman" w:eastAsia="Times New Roman" w:hAnsi="Times New Roman" w:cs="Times New Roman"/>
          <w:b/>
          <w:bCs w:val="0"/>
          <w:sz w:val="20"/>
        </w:rPr>
        <w:instrText xml:space="preserve"> SEQ Table \* ARABIC </w:instrText>
      </w:r>
      <w:r w:rsidRPr="00B35C7D">
        <w:rPr>
          <w:rFonts w:ascii="Times New Roman" w:eastAsia="Times New Roman" w:hAnsi="Times New Roman" w:cs="Times New Roman"/>
          <w:b/>
          <w:bCs w:val="0"/>
          <w:sz w:val="20"/>
        </w:rPr>
        <w:fldChar w:fldCharType="separate"/>
      </w:r>
      <w:r w:rsidR="00324A88">
        <w:rPr>
          <w:rFonts w:ascii="Times New Roman" w:eastAsia="Times New Roman" w:hAnsi="Times New Roman" w:cs="Times New Roman"/>
          <w:b/>
          <w:bCs w:val="0"/>
          <w:noProof/>
          <w:sz w:val="20"/>
        </w:rPr>
        <w:t>2</w:t>
      </w:r>
      <w:r w:rsidRPr="00B35C7D">
        <w:rPr>
          <w:rFonts w:ascii="Times New Roman" w:eastAsia="Times New Roman" w:hAnsi="Times New Roman" w:cs="Times New Roman"/>
          <w:b/>
          <w:bCs w:val="0"/>
          <w:sz w:val="20"/>
        </w:rPr>
        <w:fldChar w:fldCharType="end"/>
      </w:r>
      <w:bookmarkEnd w:id="4"/>
      <w:r w:rsidRPr="00B35C7D">
        <w:rPr>
          <w:rFonts w:ascii="Times New Roman" w:eastAsia="Times New Roman" w:hAnsi="Times New Roman" w:cs="Times New Roman"/>
          <w:b/>
          <w:bCs w:val="0"/>
          <w:sz w:val="20"/>
        </w:rPr>
        <w:t xml:space="preserve"> </w:t>
      </w:r>
      <w:r w:rsidR="00157302" w:rsidRPr="00B35C7D">
        <w:rPr>
          <w:rFonts w:ascii="Times New Roman" w:eastAsia="Times New Roman" w:hAnsi="Times New Roman" w:cs="Times New Roman"/>
          <w:b/>
          <w:bCs w:val="0"/>
          <w:sz w:val="20"/>
        </w:rPr>
        <w:t>Transmission time</w:t>
      </w:r>
      <w:r w:rsidRPr="00B35C7D">
        <w:rPr>
          <w:rFonts w:ascii="Times New Roman" w:eastAsia="Times New Roman" w:hAnsi="Times New Roman" w:cs="Times New Roman"/>
          <w:b/>
          <w:bCs w:val="0"/>
          <w:sz w:val="20"/>
        </w:rPr>
        <w:t xml:space="preserve"> for RA msg2-4</w:t>
      </w:r>
      <w:r w:rsidR="00BA145A" w:rsidRPr="00B35C7D">
        <w:rPr>
          <w:rFonts w:ascii="Times New Roman" w:eastAsia="Times New Roman" w:hAnsi="Times New Roman" w:cs="Times New Roman"/>
          <w:b/>
          <w:bCs w:val="0"/>
          <w:sz w:val="20"/>
        </w:rPr>
        <w:t xml:space="preserve"> in NB-IoT FDD at 164 dB MCL, standalone</w:t>
      </w:r>
    </w:p>
    <w:tbl>
      <w:tblPr>
        <w:tblStyle w:val="TableGrid10"/>
        <w:tblW w:w="0" w:type="auto"/>
        <w:jc w:val="center"/>
        <w:tblLook w:val="04A0" w:firstRow="1" w:lastRow="0" w:firstColumn="1" w:lastColumn="0" w:noHBand="0" w:noVBand="1"/>
      </w:tblPr>
      <w:tblGrid>
        <w:gridCol w:w="3006"/>
        <w:gridCol w:w="1082"/>
        <w:gridCol w:w="2932"/>
      </w:tblGrid>
      <w:tr w:rsidR="00270039" w:rsidRPr="007B7000" w14:paraId="05AA9AA2" w14:textId="77777777" w:rsidTr="003D3A04">
        <w:trPr>
          <w:gridAfter w:val="2"/>
          <w:wAfter w:w="4014" w:type="dxa"/>
          <w:trHeight w:val="491"/>
          <w:jc w:val="center"/>
        </w:trPr>
        <w:tc>
          <w:tcPr>
            <w:tcW w:w="3006" w:type="dxa"/>
            <w:vMerge w:val="restart"/>
            <w:tcBorders>
              <w:top w:val="nil"/>
              <w:left w:val="nil"/>
              <w:bottom w:val="single" w:sz="4" w:space="0" w:color="auto"/>
              <w:right w:val="nil"/>
            </w:tcBorders>
            <w:shd w:val="clear" w:color="auto" w:fill="auto"/>
            <w:vAlign w:val="center"/>
          </w:tcPr>
          <w:p w14:paraId="748C7868" w14:textId="77777777" w:rsidR="00270039" w:rsidRPr="00B35C7D" w:rsidRDefault="00270039" w:rsidP="00C14CB9">
            <w:pPr>
              <w:jc w:val="center"/>
              <w:rPr>
                <w:rFonts w:ascii="Times New Roman" w:eastAsia="SimSun" w:hAnsi="Times New Roman" w:cs="Times New Roman"/>
                <w:szCs w:val="20"/>
                <w:lang w:val="en-GB"/>
              </w:rPr>
            </w:pPr>
          </w:p>
        </w:tc>
      </w:tr>
      <w:tr w:rsidR="00270039" w:rsidRPr="007B7000" w14:paraId="7C886C69" w14:textId="77777777" w:rsidTr="003D3A04">
        <w:trPr>
          <w:trHeight w:val="196"/>
          <w:jc w:val="center"/>
        </w:trPr>
        <w:tc>
          <w:tcPr>
            <w:tcW w:w="3006" w:type="dxa"/>
            <w:vMerge/>
            <w:tcBorders>
              <w:top w:val="single" w:sz="4" w:space="0" w:color="auto"/>
              <w:left w:val="nil"/>
              <w:bottom w:val="single" w:sz="4" w:space="0" w:color="auto"/>
              <w:right w:val="single" w:sz="4" w:space="0" w:color="auto"/>
            </w:tcBorders>
            <w:vAlign w:val="center"/>
          </w:tcPr>
          <w:p w14:paraId="7CFAE821" w14:textId="365F1317" w:rsidR="00270039" w:rsidRPr="00B35C7D" w:rsidRDefault="00270039" w:rsidP="00270039">
            <w:pPr>
              <w:spacing w:after="120" w:line="240" w:lineRule="auto"/>
              <w:jc w:val="center"/>
              <w:rPr>
                <w:rFonts w:ascii="Times New Roman" w:eastAsia="SimSun" w:hAnsi="Times New Roman" w:cs="Times New Roman"/>
                <w:szCs w:val="20"/>
                <w:lang w:val="en-GB"/>
              </w:rPr>
            </w:pPr>
          </w:p>
        </w:tc>
        <w:tc>
          <w:tcPr>
            <w:tcW w:w="1082" w:type="dxa"/>
            <w:tcBorders>
              <w:top w:val="single" w:sz="4" w:space="0" w:color="auto"/>
              <w:left w:val="single" w:sz="4" w:space="0" w:color="auto"/>
              <w:right w:val="single" w:sz="4" w:space="0" w:color="auto"/>
            </w:tcBorders>
            <w:shd w:val="clear" w:color="auto" w:fill="DBE5F1"/>
            <w:vAlign w:val="center"/>
          </w:tcPr>
          <w:p w14:paraId="40A82B6E" w14:textId="26ACD5B0" w:rsidR="00270039" w:rsidRPr="00B35C7D" w:rsidRDefault="00270039"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 xml:space="preserve">Bytes </w:t>
            </w:r>
          </w:p>
        </w:tc>
        <w:tc>
          <w:tcPr>
            <w:tcW w:w="2932" w:type="dxa"/>
            <w:shd w:val="clear" w:color="auto" w:fill="DBE5F1"/>
            <w:vAlign w:val="center"/>
          </w:tcPr>
          <w:p w14:paraId="1C22C265" w14:textId="04A21671" w:rsidR="00270039" w:rsidRPr="00B35C7D" w:rsidRDefault="00157302"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Required time</w:t>
            </w:r>
            <w:r w:rsidR="00316641" w:rsidRPr="00B35C7D">
              <w:rPr>
                <w:rFonts w:ascii="Times New Roman" w:eastAsia="SimSun" w:hAnsi="Times New Roman" w:cs="Times New Roman"/>
                <w:szCs w:val="20"/>
                <w:lang w:val="en-GB"/>
              </w:rPr>
              <w:t xml:space="preserve"> in NB-IoT FDD </w:t>
            </w:r>
            <w:r w:rsidRPr="00B35C7D">
              <w:rPr>
                <w:rFonts w:ascii="Times New Roman" w:eastAsia="SimSun" w:hAnsi="Times New Roman" w:cs="Times New Roman"/>
                <w:szCs w:val="20"/>
                <w:lang w:val="en-GB"/>
              </w:rPr>
              <w:t>[ms]</w:t>
            </w:r>
          </w:p>
        </w:tc>
      </w:tr>
      <w:tr w:rsidR="00270039" w:rsidRPr="007B7000" w14:paraId="48CC9E0B" w14:textId="77777777" w:rsidTr="003D3A04">
        <w:trPr>
          <w:trHeight w:val="565"/>
          <w:jc w:val="center"/>
        </w:trPr>
        <w:tc>
          <w:tcPr>
            <w:tcW w:w="3006" w:type="dxa"/>
            <w:tcBorders>
              <w:top w:val="single" w:sz="4" w:space="0" w:color="auto"/>
              <w:bottom w:val="single" w:sz="4" w:space="0" w:color="auto"/>
            </w:tcBorders>
            <w:vAlign w:val="center"/>
          </w:tcPr>
          <w:p w14:paraId="18B4028A" w14:textId="080CAF65" w:rsidR="00270039" w:rsidRPr="00B35C7D" w:rsidRDefault="00BA145A"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 xml:space="preserve">DCI for </w:t>
            </w:r>
            <w:r w:rsidR="003D3A04" w:rsidRPr="00B35C7D">
              <w:rPr>
                <w:rFonts w:ascii="Times New Roman" w:eastAsia="SimSun" w:hAnsi="Times New Roman" w:cs="Times New Roman"/>
                <w:szCs w:val="20"/>
                <w:lang w:val="en-GB"/>
              </w:rPr>
              <w:t>RAR (DL)</w:t>
            </w:r>
          </w:p>
        </w:tc>
        <w:tc>
          <w:tcPr>
            <w:tcW w:w="1082" w:type="dxa"/>
            <w:vAlign w:val="bottom"/>
          </w:tcPr>
          <w:p w14:paraId="4CD22E7D" w14:textId="77777777" w:rsidR="00270039" w:rsidRPr="00B35C7D" w:rsidRDefault="00270039" w:rsidP="00270039">
            <w:pPr>
              <w:spacing w:after="120" w:line="240" w:lineRule="auto"/>
              <w:jc w:val="center"/>
              <w:rPr>
                <w:rFonts w:ascii="Times New Roman" w:eastAsia="SimSun" w:hAnsi="Times New Roman" w:cs="Times New Roman"/>
                <w:szCs w:val="20"/>
                <w:lang w:val="en-GB"/>
              </w:rPr>
            </w:pPr>
          </w:p>
        </w:tc>
        <w:tc>
          <w:tcPr>
            <w:tcW w:w="2932" w:type="dxa"/>
            <w:vAlign w:val="bottom"/>
          </w:tcPr>
          <w:p w14:paraId="4C8C98BE" w14:textId="75CAAFCC" w:rsidR="00270039" w:rsidRPr="00B35C7D" w:rsidRDefault="00BA145A"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128</w:t>
            </w:r>
          </w:p>
        </w:tc>
      </w:tr>
      <w:tr w:rsidR="00270039" w:rsidRPr="007B7000" w14:paraId="2EB3D68C" w14:textId="77777777" w:rsidTr="003D3A04">
        <w:trPr>
          <w:jc w:val="center"/>
        </w:trPr>
        <w:tc>
          <w:tcPr>
            <w:tcW w:w="3006" w:type="dxa"/>
            <w:tcBorders>
              <w:top w:val="single" w:sz="4" w:space="0" w:color="auto"/>
              <w:bottom w:val="single" w:sz="4" w:space="0" w:color="auto"/>
            </w:tcBorders>
            <w:vAlign w:val="center"/>
          </w:tcPr>
          <w:p w14:paraId="04916576" w14:textId="7F5B6FBB" w:rsidR="00270039" w:rsidRPr="00B35C7D" w:rsidRDefault="00BA145A"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R</w:t>
            </w:r>
            <w:r w:rsidR="00873977" w:rsidRPr="00B35C7D">
              <w:rPr>
                <w:rFonts w:ascii="Times New Roman" w:eastAsia="SimSun" w:hAnsi="Times New Roman" w:cs="Times New Roman"/>
                <w:szCs w:val="20"/>
                <w:lang w:val="en-GB"/>
              </w:rPr>
              <w:t>AR, including UL grant (DL)</w:t>
            </w:r>
          </w:p>
        </w:tc>
        <w:tc>
          <w:tcPr>
            <w:tcW w:w="1082" w:type="dxa"/>
            <w:vAlign w:val="bottom"/>
          </w:tcPr>
          <w:p w14:paraId="58EE0D0C" w14:textId="114668AD" w:rsidR="00270039" w:rsidRPr="00B35C7D" w:rsidRDefault="00BA145A"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color w:val="000000"/>
                <w:szCs w:val="20"/>
                <w:lang w:val="en-GB"/>
              </w:rPr>
              <w:t>8</w:t>
            </w:r>
          </w:p>
        </w:tc>
        <w:tc>
          <w:tcPr>
            <w:tcW w:w="2932" w:type="dxa"/>
            <w:vAlign w:val="bottom"/>
          </w:tcPr>
          <w:p w14:paraId="0E6E0B4A" w14:textId="11F46C13" w:rsidR="00270039" w:rsidRPr="00B35C7D" w:rsidRDefault="002240C4"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160</w:t>
            </w:r>
          </w:p>
        </w:tc>
      </w:tr>
      <w:tr w:rsidR="00270039" w:rsidRPr="007B7000" w14:paraId="05F02B91" w14:textId="77777777" w:rsidTr="003D3A04">
        <w:trPr>
          <w:jc w:val="center"/>
        </w:trPr>
        <w:tc>
          <w:tcPr>
            <w:tcW w:w="3006" w:type="dxa"/>
            <w:tcBorders>
              <w:top w:val="single" w:sz="4" w:space="0" w:color="auto"/>
              <w:bottom w:val="single" w:sz="4" w:space="0" w:color="auto"/>
            </w:tcBorders>
          </w:tcPr>
          <w:p w14:paraId="2E99F86C" w14:textId="1CA2B749" w:rsidR="00270039" w:rsidRPr="00B35C7D" w:rsidRDefault="00270039"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RA msg 3</w:t>
            </w:r>
            <w:r w:rsidR="003D3A04" w:rsidRPr="00B35C7D">
              <w:rPr>
                <w:rFonts w:ascii="Times New Roman" w:eastAsia="SimSun" w:hAnsi="Times New Roman" w:cs="Times New Roman"/>
                <w:szCs w:val="20"/>
                <w:lang w:val="en-GB"/>
              </w:rPr>
              <w:t xml:space="preserve"> (UL)</w:t>
            </w:r>
          </w:p>
        </w:tc>
        <w:tc>
          <w:tcPr>
            <w:tcW w:w="1082" w:type="dxa"/>
            <w:vAlign w:val="bottom"/>
          </w:tcPr>
          <w:p w14:paraId="63DC03B3" w14:textId="77777777" w:rsidR="00270039" w:rsidRPr="00B35C7D" w:rsidRDefault="00270039"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color w:val="000000"/>
                <w:szCs w:val="20"/>
                <w:lang w:val="en-GB"/>
              </w:rPr>
              <w:t>11</w:t>
            </w:r>
          </w:p>
        </w:tc>
        <w:tc>
          <w:tcPr>
            <w:tcW w:w="2932" w:type="dxa"/>
            <w:vAlign w:val="bottom"/>
          </w:tcPr>
          <w:p w14:paraId="5D1EE97C" w14:textId="096175BA" w:rsidR="00270039" w:rsidRPr="00B35C7D" w:rsidRDefault="00157302"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288</w:t>
            </w:r>
          </w:p>
        </w:tc>
      </w:tr>
      <w:tr w:rsidR="003D3A04" w:rsidRPr="007B7000" w14:paraId="48FDC90A" w14:textId="77777777" w:rsidTr="003D3A04">
        <w:trPr>
          <w:jc w:val="center"/>
        </w:trPr>
        <w:tc>
          <w:tcPr>
            <w:tcW w:w="3006" w:type="dxa"/>
            <w:tcBorders>
              <w:top w:val="single" w:sz="4" w:space="0" w:color="auto"/>
              <w:bottom w:val="single" w:sz="4" w:space="0" w:color="auto"/>
            </w:tcBorders>
          </w:tcPr>
          <w:p w14:paraId="5C2F7448" w14:textId="2AD008B4" w:rsidR="003D3A04" w:rsidRPr="00B35C7D" w:rsidRDefault="003D3A04"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DCI for DL assignment (DL)</w:t>
            </w:r>
          </w:p>
        </w:tc>
        <w:tc>
          <w:tcPr>
            <w:tcW w:w="1082" w:type="dxa"/>
            <w:vAlign w:val="bottom"/>
          </w:tcPr>
          <w:p w14:paraId="238CE213" w14:textId="77777777" w:rsidR="003D3A04" w:rsidRPr="00B35C7D" w:rsidRDefault="003D3A04"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6EC9A64D" w14:textId="554B0059" w:rsidR="003D3A04" w:rsidRPr="00B35C7D" w:rsidRDefault="003D3A04"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128</w:t>
            </w:r>
          </w:p>
        </w:tc>
      </w:tr>
      <w:tr w:rsidR="00270039" w:rsidRPr="007B7000" w14:paraId="58ACC3AB" w14:textId="77777777" w:rsidTr="003D3A04">
        <w:trPr>
          <w:jc w:val="center"/>
        </w:trPr>
        <w:tc>
          <w:tcPr>
            <w:tcW w:w="3006" w:type="dxa"/>
            <w:tcBorders>
              <w:top w:val="single" w:sz="4" w:space="0" w:color="auto"/>
              <w:bottom w:val="single" w:sz="4" w:space="0" w:color="auto"/>
            </w:tcBorders>
          </w:tcPr>
          <w:p w14:paraId="1551F7C1" w14:textId="7D3EC7A5" w:rsidR="00270039" w:rsidRPr="00B35C7D" w:rsidRDefault="00270039"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RA msg 4</w:t>
            </w:r>
            <w:r w:rsidR="003D3A04" w:rsidRPr="00B35C7D">
              <w:rPr>
                <w:rFonts w:ascii="Times New Roman" w:eastAsia="SimSun" w:hAnsi="Times New Roman" w:cs="Times New Roman"/>
                <w:szCs w:val="20"/>
                <w:lang w:val="en-GB"/>
              </w:rPr>
              <w:t xml:space="preserve"> (DL)</w:t>
            </w:r>
          </w:p>
        </w:tc>
        <w:tc>
          <w:tcPr>
            <w:tcW w:w="1082" w:type="dxa"/>
            <w:vAlign w:val="bottom"/>
          </w:tcPr>
          <w:p w14:paraId="049A550C" w14:textId="77777777" w:rsidR="00270039" w:rsidRPr="00B35C7D" w:rsidRDefault="00270039"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color w:val="000000"/>
                <w:szCs w:val="20"/>
                <w:lang w:val="en-GB"/>
              </w:rPr>
              <w:t>8</w:t>
            </w:r>
          </w:p>
        </w:tc>
        <w:tc>
          <w:tcPr>
            <w:tcW w:w="2932" w:type="dxa"/>
            <w:vAlign w:val="bottom"/>
          </w:tcPr>
          <w:p w14:paraId="4E5CC98B" w14:textId="5B9AFD15" w:rsidR="00270039" w:rsidRPr="00B35C7D" w:rsidRDefault="002240C4"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160</w:t>
            </w:r>
          </w:p>
        </w:tc>
      </w:tr>
      <w:tr w:rsidR="00DB1F87" w:rsidRPr="007B7000" w14:paraId="78E4F130" w14:textId="77777777" w:rsidTr="003D3A04">
        <w:trPr>
          <w:jc w:val="center"/>
        </w:trPr>
        <w:tc>
          <w:tcPr>
            <w:tcW w:w="3006" w:type="dxa"/>
            <w:tcBorders>
              <w:top w:val="single" w:sz="4" w:space="0" w:color="auto"/>
              <w:bottom w:val="single" w:sz="4" w:space="0" w:color="auto"/>
            </w:tcBorders>
          </w:tcPr>
          <w:p w14:paraId="5AEA7C48" w14:textId="099F7A59" w:rsidR="00DB1F87" w:rsidRPr="00B35C7D" w:rsidRDefault="00DB1F87"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ACK/NACK for msg4</w:t>
            </w:r>
            <w:r w:rsidR="003D3A04" w:rsidRPr="00B35C7D">
              <w:rPr>
                <w:rFonts w:ascii="Times New Roman" w:eastAsia="SimSun" w:hAnsi="Times New Roman" w:cs="Times New Roman"/>
                <w:szCs w:val="20"/>
                <w:lang w:val="en-GB"/>
              </w:rPr>
              <w:t xml:space="preserve"> (UL)</w:t>
            </w:r>
          </w:p>
        </w:tc>
        <w:tc>
          <w:tcPr>
            <w:tcW w:w="1082" w:type="dxa"/>
            <w:vAlign w:val="bottom"/>
          </w:tcPr>
          <w:p w14:paraId="70AECA11" w14:textId="77777777" w:rsidR="00DB1F87" w:rsidRPr="00B35C7D" w:rsidRDefault="00DB1F87"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7C8AEE4D" w14:textId="178AE2D1" w:rsidR="00DB1F87" w:rsidRPr="00B35C7D" w:rsidRDefault="00DB1F87" w:rsidP="00270039">
            <w:pPr>
              <w:spacing w:after="120" w:line="240" w:lineRule="auto"/>
              <w:jc w:val="center"/>
              <w:rPr>
                <w:rFonts w:ascii="Times New Roman" w:eastAsia="SimSun" w:hAnsi="Times New Roman" w:cs="Times New Roman"/>
                <w:szCs w:val="20"/>
                <w:lang w:val="en-GB"/>
              </w:rPr>
            </w:pPr>
            <w:r w:rsidRPr="00B35C7D">
              <w:rPr>
                <w:rFonts w:ascii="Times New Roman" w:eastAsia="SimSun" w:hAnsi="Times New Roman" w:cs="Times New Roman"/>
                <w:szCs w:val="20"/>
                <w:lang w:val="en-GB"/>
              </w:rPr>
              <w:t>64</w:t>
            </w:r>
          </w:p>
        </w:tc>
      </w:tr>
    </w:tbl>
    <w:p w14:paraId="3118F9F7" w14:textId="0B0C8232" w:rsidR="00270039" w:rsidRPr="00B35C7D" w:rsidRDefault="00270039" w:rsidP="001657E8">
      <w:pPr>
        <w:spacing w:after="0" w:line="240" w:lineRule="auto"/>
        <w:jc w:val="both"/>
        <w:rPr>
          <w:rFonts w:ascii="Times New Roman" w:eastAsia="Times New Roman" w:hAnsi="Times New Roman" w:cs="Times New Roman"/>
          <w:sz w:val="20"/>
        </w:rPr>
      </w:pPr>
    </w:p>
    <w:p w14:paraId="48EF8693" w14:textId="77777777" w:rsidR="00270039" w:rsidRPr="00B35C7D" w:rsidRDefault="00270039" w:rsidP="001657E8">
      <w:pPr>
        <w:spacing w:after="0" w:line="240" w:lineRule="auto"/>
        <w:jc w:val="both"/>
        <w:rPr>
          <w:rFonts w:ascii="Times New Roman" w:eastAsia="Times New Roman" w:hAnsi="Times New Roman" w:cs="Times New Roman"/>
          <w:sz w:val="20"/>
        </w:rPr>
      </w:pPr>
    </w:p>
    <w:p w14:paraId="254B362E" w14:textId="2EDC407C" w:rsidR="00FB768E" w:rsidRPr="00B35C7D" w:rsidRDefault="00FB768E" w:rsidP="001657E8">
      <w:pPr>
        <w:spacing w:after="0" w:line="240" w:lineRule="auto"/>
        <w:jc w:val="both"/>
        <w:rPr>
          <w:rFonts w:ascii="Times New Roman" w:eastAsia="Times New Roman" w:hAnsi="Times New Roman" w:cs="Times New Roman"/>
          <w:sz w:val="20"/>
        </w:rPr>
      </w:pPr>
    </w:p>
    <w:p w14:paraId="52A29E1A" w14:textId="3CF9D156" w:rsidR="00FB768E" w:rsidRPr="00B35C7D" w:rsidRDefault="00DB1F87"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Once random access is completed the terminal waits for an uplink grant on NPDCCH. Based on the buffer status report included in RA msg3 the eNB selects a suitable grant size and transmits the NPDCCH. Once the UE receives the UL assignment, it sends the exception report on the scheduled UL resources. For the exception report, according to</w:t>
      </w:r>
      <w:r w:rsidR="00C23686">
        <w:rPr>
          <w:rFonts w:ascii="Times New Roman" w:eastAsia="Times New Roman" w:hAnsi="Times New Roman" w:cs="Times New Roman"/>
          <w:sz w:val="20"/>
        </w:rPr>
        <w:t xml:space="preserve"> </w:t>
      </w:r>
      <w:r w:rsidR="00C23686">
        <w:rPr>
          <w:rFonts w:ascii="Times New Roman" w:eastAsia="Times New Roman" w:hAnsi="Times New Roman" w:cs="Times New Roman"/>
          <w:sz w:val="20"/>
        </w:rPr>
        <w:fldChar w:fldCharType="begin"/>
      </w:r>
      <w:r w:rsidR="00C23686">
        <w:rPr>
          <w:rFonts w:ascii="Times New Roman" w:eastAsia="Times New Roman" w:hAnsi="Times New Roman" w:cs="Times New Roman"/>
          <w:sz w:val="20"/>
        </w:rPr>
        <w:instrText xml:space="preserve"> REF _Ref510768832 \r \h </w:instrText>
      </w:r>
      <w:r w:rsidR="00C23686">
        <w:rPr>
          <w:rFonts w:ascii="Times New Roman" w:eastAsia="Times New Roman" w:hAnsi="Times New Roman" w:cs="Times New Roman"/>
          <w:sz w:val="20"/>
        </w:rPr>
      </w:r>
      <w:r w:rsidR="00C23686">
        <w:rPr>
          <w:rFonts w:ascii="Times New Roman" w:eastAsia="Times New Roman" w:hAnsi="Times New Roman" w:cs="Times New Roman"/>
          <w:sz w:val="20"/>
        </w:rPr>
        <w:fldChar w:fldCharType="separate"/>
      </w:r>
      <w:r w:rsidR="00324A88">
        <w:rPr>
          <w:rFonts w:ascii="Times New Roman" w:eastAsia="Times New Roman" w:hAnsi="Times New Roman" w:cs="Times New Roman"/>
          <w:sz w:val="20"/>
        </w:rPr>
        <w:t>[7]</w:t>
      </w:r>
      <w:r w:rsidR="00C23686">
        <w:rPr>
          <w:rFonts w:ascii="Times New Roman" w:eastAsia="Times New Roman" w:hAnsi="Times New Roman" w:cs="Times New Roman"/>
          <w:sz w:val="20"/>
        </w:rPr>
        <w:fldChar w:fldCharType="end"/>
      </w:r>
      <w:r w:rsidRPr="00B35C7D">
        <w:rPr>
          <w:rFonts w:ascii="Times New Roman" w:eastAsia="Times New Roman" w:hAnsi="Times New Roman" w:cs="Times New Roman"/>
          <w:sz w:val="20"/>
        </w:rPr>
        <w:t xml:space="preserve">, </w:t>
      </w:r>
      <w:r w:rsidR="00875B5E" w:rsidRPr="00B35C7D">
        <w:rPr>
          <w:rFonts w:ascii="Times New Roman" w:eastAsia="Times New Roman" w:hAnsi="Times New Roman" w:cs="Times New Roman"/>
          <w:sz w:val="20"/>
        </w:rPr>
        <w:t xml:space="preserve">in total 100 bytes are assumed for the overhead of the upper layer protocols. </w:t>
      </w:r>
      <w:r w:rsidRPr="00B35C7D">
        <w:rPr>
          <w:rFonts w:ascii="Times New Roman" w:eastAsia="Times New Roman" w:hAnsi="Times New Roman" w:cs="Times New Roman"/>
          <w:sz w:val="20"/>
        </w:rPr>
        <w:t xml:space="preserve">At 164 dB MCL, it takes 2560 ms to send the exception report. The UL transmission gap is not considered in NB-IoT TDD. </w:t>
      </w:r>
    </w:p>
    <w:p w14:paraId="18D2A135" w14:textId="1606DBFE" w:rsidR="00A03636" w:rsidRPr="00B35C7D" w:rsidRDefault="00A03636" w:rsidP="001657E8">
      <w:pPr>
        <w:spacing w:after="0" w:line="240" w:lineRule="auto"/>
        <w:jc w:val="both"/>
        <w:rPr>
          <w:rFonts w:ascii="Times New Roman" w:eastAsia="Times New Roman" w:hAnsi="Times New Roman" w:cs="Times New Roman"/>
          <w:sz w:val="20"/>
        </w:rPr>
      </w:pPr>
    </w:p>
    <w:p w14:paraId="203259F2" w14:textId="2557CF5F" w:rsidR="00A03636" w:rsidRPr="00B35C7D" w:rsidRDefault="00A03636"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If the transmission is received in error or lost, the network will schedule the terminal to do a re-transmission. A re-transmission is requested by sending an uplink assignment in the next available NPDCCH with the NDI (“new data indicator”) flag not toggled. For the 90% confidence case, we assume no re-transmission. </w:t>
      </w:r>
    </w:p>
    <w:p w14:paraId="34BB31C0" w14:textId="7BF524EC" w:rsidR="00A03636" w:rsidRPr="00B35C7D" w:rsidRDefault="00A03636" w:rsidP="001657E8">
      <w:pPr>
        <w:spacing w:after="0" w:line="240" w:lineRule="auto"/>
        <w:jc w:val="both"/>
        <w:rPr>
          <w:rFonts w:ascii="Times New Roman" w:eastAsia="Times New Roman" w:hAnsi="Times New Roman" w:cs="Times New Roman"/>
          <w:sz w:val="20"/>
        </w:rPr>
      </w:pPr>
    </w:p>
    <w:p w14:paraId="162D5CB4" w14:textId="2DDFF658" w:rsidR="00DB1F87" w:rsidRPr="00B35C7D" w:rsidRDefault="00A03636"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The total time to send exception report for each of the TDD configurations is summarized in </w:t>
      </w:r>
      <w:r w:rsidR="00DF6B15" w:rsidRPr="00B35C7D">
        <w:rPr>
          <w:rFonts w:ascii="Times New Roman" w:eastAsia="Times New Roman" w:hAnsi="Times New Roman" w:cs="Times New Roman"/>
          <w:sz w:val="20"/>
        </w:rPr>
        <w:fldChar w:fldCharType="begin"/>
      </w:r>
      <w:r w:rsidR="00DF6B15" w:rsidRPr="00B35C7D">
        <w:rPr>
          <w:rFonts w:ascii="Times New Roman" w:eastAsia="Times New Roman" w:hAnsi="Times New Roman" w:cs="Times New Roman"/>
          <w:sz w:val="20"/>
        </w:rPr>
        <w:instrText xml:space="preserve"> REF _Ref494210667 \h  \* MERGEFORMAT </w:instrText>
      </w:r>
      <w:r w:rsidR="00DF6B15" w:rsidRPr="00B35C7D">
        <w:rPr>
          <w:rFonts w:ascii="Times New Roman" w:eastAsia="Times New Roman" w:hAnsi="Times New Roman" w:cs="Times New Roman"/>
          <w:sz w:val="20"/>
        </w:rPr>
      </w:r>
      <w:r w:rsidR="00DF6B15" w:rsidRPr="00B35C7D">
        <w:rPr>
          <w:rFonts w:ascii="Times New Roman" w:eastAsia="Times New Roman" w:hAnsi="Times New Roman" w:cs="Times New Roman"/>
          <w:sz w:val="20"/>
        </w:rPr>
        <w:fldChar w:fldCharType="separate"/>
      </w:r>
      <w:r w:rsidR="00324A88" w:rsidRPr="00324A88">
        <w:rPr>
          <w:rFonts w:ascii="Times New Roman" w:eastAsia="Times New Roman" w:hAnsi="Times New Roman" w:cs="Times New Roman"/>
          <w:sz w:val="20"/>
        </w:rPr>
        <w:t>Table 3</w:t>
      </w:r>
      <w:r w:rsidR="00DF6B15" w:rsidRPr="00B35C7D">
        <w:rPr>
          <w:rFonts w:ascii="Times New Roman" w:eastAsia="Times New Roman" w:hAnsi="Times New Roman" w:cs="Times New Roman"/>
          <w:sz w:val="20"/>
        </w:rPr>
        <w:fldChar w:fldCharType="end"/>
      </w:r>
      <w:r w:rsidRPr="00B35C7D">
        <w:rPr>
          <w:rFonts w:ascii="Times New Roman" w:eastAsia="Times New Roman" w:hAnsi="Times New Roman" w:cs="Times New Roman"/>
          <w:sz w:val="20"/>
        </w:rPr>
        <w:t>.  Notice that the NPRACH transmission time is estimated based on the NB-IoT FDD design.</w:t>
      </w:r>
      <w:r w:rsidR="00F119A0" w:rsidRPr="00B35C7D">
        <w:rPr>
          <w:rFonts w:ascii="Times New Roman" w:eastAsia="Times New Roman" w:hAnsi="Times New Roman" w:cs="Times New Roman"/>
          <w:sz w:val="20"/>
        </w:rPr>
        <w:t xml:space="preserve"> The NPRACH designs </w:t>
      </w:r>
      <w:r w:rsidR="00F41110">
        <w:rPr>
          <w:rFonts w:ascii="Times New Roman" w:eastAsia="Times New Roman" w:hAnsi="Times New Roman" w:cs="Times New Roman"/>
          <w:sz w:val="20"/>
        </w:rPr>
        <w:t xml:space="preserve">follow the formats agreed in RAN1 #92 </w:t>
      </w:r>
      <w:r w:rsidR="00F119A0" w:rsidRPr="00B35C7D">
        <w:rPr>
          <w:rFonts w:ascii="Times New Roman" w:eastAsia="Times New Roman" w:hAnsi="Times New Roman" w:cs="Times New Roman"/>
          <w:sz w:val="20"/>
        </w:rPr>
        <w:t>[</w:t>
      </w:r>
      <w:r w:rsidR="001A1BB7" w:rsidRPr="00B35C7D">
        <w:rPr>
          <w:rFonts w:ascii="Times New Roman" w:eastAsia="Times New Roman" w:hAnsi="Times New Roman" w:cs="Times New Roman"/>
          <w:sz w:val="20"/>
        </w:rPr>
        <w:t>4</w:t>
      </w:r>
      <w:r w:rsidR="00F119A0" w:rsidRPr="00B35C7D">
        <w:rPr>
          <w:rFonts w:ascii="Times New Roman" w:eastAsia="Times New Roman" w:hAnsi="Times New Roman" w:cs="Times New Roman"/>
          <w:sz w:val="20"/>
        </w:rPr>
        <w:t xml:space="preserve">]. </w:t>
      </w:r>
      <w:r w:rsidRPr="00B35C7D">
        <w:rPr>
          <w:rFonts w:ascii="Times New Roman" w:eastAsia="Times New Roman" w:hAnsi="Times New Roman" w:cs="Times New Roman"/>
          <w:sz w:val="20"/>
        </w:rPr>
        <w:t xml:space="preserve"> </w:t>
      </w:r>
      <w:r w:rsidR="00FA5EE8" w:rsidRPr="00B35C7D">
        <w:rPr>
          <w:rFonts w:ascii="Times New Roman" w:eastAsia="Times New Roman" w:hAnsi="Times New Roman" w:cs="Times New Roman"/>
          <w:sz w:val="20"/>
        </w:rPr>
        <w:t xml:space="preserve">The special subframes are not considered in the calculations. </w:t>
      </w:r>
    </w:p>
    <w:p w14:paraId="4B2E2613" w14:textId="67DFF97C" w:rsidR="00A03636" w:rsidRPr="00B35C7D" w:rsidRDefault="00A03636" w:rsidP="001657E8">
      <w:pPr>
        <w:spacing w:after="0" w:line="240" w:lineRule="auto"/>
        <w:jc w:val="both"/>
        <w:rPr>
          <w:rFonts w:ascii="Times New Roman" w:eastAsia="Times New Roman" w:hAnsi="Times New Roman" w:cs="Times New Roman"/>
          <w:sz w:val="20"/>
        </w:rPr>
      </w:pPr>
    </w:p>
    <w:p w14:paraId="35C117C4" w14:textId="76F4EA9E" w:rsidR="00DF6B15" w:rsidRPr="00B35C7D" w:rsidRDefault="00DF6B15" w:rsidP="00DF6B15">
      <w:pPr>
        <w:pStyle w:val="Caption"/>
        <w:keepNext/>
        <w:jc w:val="center"/>
        <w:rPr>
          <w:rFonts w:ascii="Times New Roman" w:eastAsia="Times New Roman" w:hAnsi="Times New Roman" w:cs="Times New Roman"/>
          <w:b/>
          <w:bCs w:val="0"/>
          <w:sz w:val="20"/>
        </w:rPr>
      </w:pPr>
      <w:bookmarkStart w:id="5" w:name="_Ref494210667"/>
      <w:r w:rsidRPr="00B35C7D">
        <w:rPr>
          <w:rFonts w:ascii="Times New Roman" w:eastAsia="Times New Roman" w:hAnsi="Times New Roman" w:cs="Times New Roman"/>
          <w:b/>
          <w:bCs w:val="0"/>
          <w:sz w:val="20"/>
        </w:rPr>
        <w:t xml:space="preserve">Table </w:t>
      </w:r>
      <w:r w:rsidRPr="00B35C7D">
        <w:rPr>
          <w:rFonts w:ascii="Times New Roman" w:eastAsia="Times New Roman" w:hAnsi="Times New Roman" w:cs="Times New Roman"/>
          <w:b/>
          <w:bCs w:val="0"/>
          <w:sz w:val="20"/>
        </w:rPr>
        <w:fldChar w:fldCharType="begin"/>
      </w:r>
      <w:r w:rsidRPr="00B35C7D">
        <w:rPr>
          <w:rFonts w:ascii="Times New Roman" w:eastAsia="Times New Roman" w:hAnsi="Times New Roman" w:cs="Times New Roman"/>
          <w:b/>
          <w:bCs w:val="0"/>
          <w:sz w:val="20"/>
        </w:rPr>
        <w:instrText xml:space="preserve"> SEQ Table \* ARABIC </w:instrText>
      </w:r>
      <w:r w:rsidRPr="00B35C7D">
        <w:rPr>
          <w:rFonts w:ascii="Times New Roman" w:eastAsia="Times New Roman" w:hAnsi="Times New Roman" w:cs="Times New Roman"/>
          <w:b/>
          <w:bCs w:val="0"/>
          <w:sz w:val="20"/>
        </w:rPr>
        <w:fldChar w:fldCharType="separate"/>
      </w:r>
      <w:r w:rsidR="00324A88">
        <w:rPr>
          <w:rFonts w:ascii="Times New Roman" w:eastAsia="Times New Roman" w:hAnsi="Times New Roman" w:cs="Times New Roman"/>
          <w:b/>
          <w:bCs w:val="0"/>
          <w:noProof/>
          <w:sz w:val="20"/>
        </w:rPr>
        <w:t>3</w:t>
      </w:r>
      <w:r w:rsidRPr="00B35C7D">
        <w:rPr>
          <w:rFonts w:ascii="Times New Roman" w:eastAsia="Times New Roman" w:hAnsi="Times New Roman" w:cs="Times New Roman"/>
          <w:b/>
          <w:bCs w:val="0"/>
          <w:sz w:val="20"/>
        </w:rPr>
        <w:fldChar w:fldCharType="end"/>
      </w:r>
      <w:bookmarkEnd w:id="5"/>
      <w:r w:rsidRPr="00B35C7D">
        <w:rPr>
          <w:rFonts w:ascii="Times New Roman" w:eastAsia="Times New Roman" w:hAnsi="Times New Roman" w:cs="Times New Roman"/>
          <w:b/>
          <w:bCs w:val="0"/>
          <w:sz w:val="20"/>
        </w:rPr>
        <w:t xml:space="preserve"> Exception report delivery time with 90% confidence for standalone case at 164 dB MCL</w:t>
      </w:r>
    </w:p>
    <w:tbl>
      <w:tblPr>
        <w:tblStyle w:val="TableGrid2"/>
        <w:tblW w:w="0" w:type="auto"/>
        <w:jc w:val="center"/>
        <w:tblLook w:val="04A0" w:firstRow="1" w:lastRow="0" w:firstColumn="1" w:lastColumn="0" w:noHBand="0" w:noVBand="1"/>
      </w:tblPr>
      <w:tblGrid>
        <w:gridCol w:w="2780"/>
        <w:gridCol w:w="930"/>
        <w:gridCol w:w="930"/>
        <w:gridCol w:w="929"/>
        <w:gridCol w:w="930"/>
        <w:gridCol w:w="930"/>
        <w:gridCol w:w="1272"/>
      </w:tblGrid>
      <w:tr w:rsidR="00127331" w:rsidRPr="007B7000" w14:paraId="7836CE83" w14:textId="77524F8E" w:rsidTr="00127331">
        <w:trPr>
          <w:trHeight w:val="868"/>
          <w:jc w:val="center"/>
        </w:trPr>
        <w:tc>
          <w:tcPr>
            <w:tcW w:w="2780" w:type="dxa"/>
            <w:shd w:val="clear" w:color="auto" w:fill="DBE5F1"/>
            <w:vAlign w:val="center"/>
          </w:tcPr>
          <w:p w14:paraId="4DF3C627" w14:textId="275A55A0"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noProof/>
                <w:sz w:val="20"/>
                <w:szCs w:val="20"/>
              </w:rPr>
              <mc:AlternateContent>
                <mc:Choice Requires="wps">
                  <w:drawing>
                    <wp:anchor distT="0" distB="0" distL="114300" distR="114300" simplePos="0" relativeHeight="251680768" behindDoc="0" locked="0" layoutInCell="1" allowOverlap="1" wp14:anchorId="73153A76" wp14:editId="741DEDCD">
                      <wp:simplePos x="0" y="0"/>
                      <wp:positionH relativeFrom="column">
                        <wp:posOffset>-68580</wp:posOffset>
                      </wp:positionH>
                      <wp:positionV relativeFrom="paragraph">
                        <wp:posOffset>-6985</wp:posOffset>
                      </wp:positionV>
                      <wp:extent cx="1780540" cy="524510"/>
                      <wp:effectExtent l="0" t="0" r="29210" b="27940"/>
                      <wp:wrapNone/>
                      <wp:docPr id="3" name="Straight Connector 3"/>
                      <wp:cNvGraphicFramePr/>
                      <a:graphic xmlns:a="http://schemas.openxmlformats.org/drawingml/2006/main">
                        <a:graphicData uri="http://schemas.microsoft.com/office/word/2010/wordprocessingShape">
                          <wps:wsp>
                            <wps:cNvCnPr/>
                            <wps:spPr>
                              <a:xfrm>
                                <a:off x="0" y="0"/>
                                <a:ext cx="1780540" cy="5245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E47E5F" id="Straight Connector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134.8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"/>
                  </w:pict>
                </mc:Fallback>
              </mc:AlternateContent>
            </w:r>
            <w:r w:rsidRPr="00B35C7D">
              <w:rPr>
                <w:rFonts w:ascii="Times New Roman" w:eastAsia="MS Mincho" w:hAnsi="Times New Roman" w:cs="Times New Roman"/>
                <w:noProof/>
                <w:sz w:val="20"/>
                <w:szCs w:val="20"/>
              </w:rPr>
              <mc:AlternateContent>
                <mc:Choice Requires="wps">
                  <w:drawing>
                    <wp:anchor distT="0" distB="0" distL="114300" distR="114300" simplePos="0" relativeHeight="251681792" behindDoc="0" locked="0" layoutInCell="1" allowOverlap="1" wp14:anchorId="4C3674B4" wp14:editId="6027F727">
                      <wp:simplePos x="0" y="0"/>
                      <wp:positionH relativeFrom="column">
                        <wp:posOffset>-55425</wp:posOffset>
                      </wp:positionH>
                      <wp:positionV relativeFrom="paragraph">
                        <wp:posOffset>287955</wp:posOffset>
                      </wp:positionV>
                      <wp:extent cx="638355" cy="235764"/>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rgbClr val="4F81BD">
                                  <a:lumMod val="20000"/>
                                  <a:lumOff val="80000"/>
                                </a:srgbClr>
                              </a:solidFill>
                              <a:ln w="6350">
                                <a:noFill/>
                              </a:ln>
                              <a:effectLst/>
                            </wps:spPr>
                            <wps:txbx>
                              <w:txbxContent>
                                <w:p w14:paraId="38EF3896" w14:textId="77777777" w:rsidR="009A4FB2" w:rsidRPr="00865679" w:rsidRDefault="009A4FB2" w:rsidP="00A03636">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674B4" id="_x0000_t202" coordsize="21600,21600" o:spt="202" path="m,l,21600r21600,l21600,xe">
                      <v:stroke joinstyle="miter"/>
                      <v:path gradientshapeok="t" o:connecttype="rect"/>
                    </v:shapetype>
                    <v:shape id="Text Box 8" o:spid="_x0000_s1026" type="#_x0000_t202" style="position:absolute;left:0;text-align:left;margin-left:-4.35pt;margin-top:22.65pt;width:50.25pt;height:1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" fillcolor="#dce6f2" stroked="f" strokeweight=".5pt">
                      <v:textbox>
                        <w:txbxContent>
                          <w:p w14:paraId="38EF3896" w14:textId="77777777" w:rsidR="009A4FB2" w:rsidRPr="00865679" w:rsidRDefault="009A4FB2" w:rsidP="00A03636">
                            <w:pPr>
                              <w:pStyle w:val="BodyText"/>
                              <w:jc w:val="center"/>
                              <w:rPr>
                                <w:rFonts w:eastAsia="MS Mincho"/>
                                <w:sz w:val="20"/>
                              </w:rPr>
                            </w:pPr>
                            <w:r w:rsidRPr="00865679">
                              <w:rPr>
                                <w:rFonts w:eastAsia="MS Mincho"/>
                                <w:sz w:val="20"/>
                              </w:rPr>
                              <w:t>Activity</w:t>
                            </w:r>
                          </w:p>
                        </w:txbxContent>
                      </v:textbox>
                    </v:shape>
                  </w:pict>
                </mc:Fallback>
              </mc:AlternateContent>
            </w:r>
            <w:r w:rsidRPr="00B35C7D">
              <w:rPr>
                <w:rFonts w:ascii="Times New Roman" w:eastAsia="MS Mincho" w:hAnsi="Times New Roman" w:cs="Times New Roman"/>
                <w:b/>
                <w:sz w:val="20"/>
                <w:szCs w:val="20"/>
                <w:lang w:val="en-GB"/>
              </w:rPr>
              <w:t xml:space="preserve">      </w:t>
            </w:r>
            <w:r w:rsidRPr="00B35C7D">
              <w:rPr>
                <w:rFonts w:ascii="Times New Roman" w:eastAsia="MS Mincho" w:hAnsi="Times New Roman" w:cs="Times New Roman"/>
                <w:sz w:val="20"/>
                <w:szCs w:val="20"/>
                <w:lang w:val="en-GB"/>
              </w:rPr>
              <w:t>TDD configuration</w:t>
            </w:r>
          </w:p>
        </w:tc>
        <w:tc>
          <w:tcPr>
            <w:tcW w:w="930" w:type="dxa"/>
            <w:shd w:val="clear" w:color="auto" w:fill="DBE5F1"/>
            <w:vAlign w:val="center"/>
          </w:tcPr>
          <w:p w14:paraId="20C6A828" w14:textId="1B03F970" w:rsidR="00127331" w:rsidRPr="00B35C7D" w:rsidRDefault="00127331" w:rsidP="00A03636">
            <w:pPr>
              <w:spacing w:after="120" w:line="240" w:lineRule="auto"/>
              <w:jc w:val="center"/>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#1</w:t>
            </w:r>
          </w:p>
        </w:tc>
        <w:tc>
          <w:tcPr>
            <w:tcW w:w="930" w:type="dxa"/>
            <w:shd w:val="clear" w:color="auto" w:fill="DBE5F1"/>
            <w:vAlign w:val="center"/>
          </w:tcPr>
          <w:p w14:paraId="002DCDA4" w14:textId="35B1D245" w:rsidR="00127331" w:rsidRPr="00B35C7D" w:rsidRDefault="00127331" w:rsidP="00A03636">
            <w:pPr>
              <w:spacing w:after="120" w:line="240" w:lineRule="auto"/>
              <w:jc w:val="center"/>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#2</w:t>
            </w:r>
          </w:p>
        </w:tc>
        <w:tc>
          <w:tcPr>
            <w:tcW w:w="929" w:type="dxa"/>
            <w:shd w:val="clear" w:color="auto" w:fill="DBE5F1"/>
            <w:vAlign w:val="center"/>
          </w:tcPr>
          <w:p w14:paraId="694A67CF" w14:textId="0FB37050" w:rsidR="00127331" w:rsidRPr="00B35C7D" w:rsidRDefault="00127331" w:rsidP="00A03636">
            <w:pPr>
              <w:spacing w:after="120" w:line="240" w:lineRule="auto"/>
              <w:jc w:val="center"/>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#3</w:t>
            </w:r>
          </w:p>
        </w:tc>
        <w:tc>
          <w:tcPr>
            <w:tcW w:w="930" w:type="dxa"/>
            <w:shd w:val="clear" w:color="auto" w:fill="DBE5F1"/>
            <w:vAlign w:val="center"/>
          </w:tcPr>
          <w:p w14:paraId="341F250E" w14:textId="21AFF3E8" w:rsidR="00127331" w:rsidRPr="00B35C7D" w:rsidRDefault="00127331" w:rsidP="00A03636">
            <w:pPr>
              <w:spacing w:after="120" w:line="240" w:lineRule="auto"/>
              <w:jc w:val="left"/>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#4</w:t>
            </w:r>
          </w:p>
        </w:tc>
        <w:tc>
          <w:tcPr>
            <w:tcW w:w="930" w:type="dxa"/>
            <w:shd w:val="clear" w:color="auto" w:fill="DBE5F1"/>
            <w:vAlign w:val="center"/>
          </w:tcPr>
          <w:p w14:paraId="157917F6" w14:textId="5804B014" w:rsidR="00127331" w:rsidRPr="00B35C7D" w:rsidRDefault="00127331" w:rsidP="00A03636">
            <w:pPr>
              <w:spacing w:after="120" w:line="240" w:lineRule="auto"/>
              <w:jc w:val="center"/>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#5</w:t>
            </w:r>
          </w:p>
        </w:tc>
        <w:tc>
          <w:tcPr>
            <w:tcW w:w="1272" w:type="dxa"/>
            <w:shd w:val="clear" w:color="auto" w:fill="DBE5F1"/>
            <w:vAlign w:val="center"/>
          </w:tcPr>
          <w:p w14:paraId="2EAFA343" w14:textId="0BBD8E79" w:rsidR="00127331" w:rsidRPr="00B35C7D" w:rsidRDefault="00127331" w:rsidP="00A03636">
            <w:pPr>
              <w:spacing w:after="120" w:line="240" w:lineRule="auto"/>
              <w:jc w:val="center"/>
              <w:rPr>
                <w:rFonts w:ascii="Times New Roman" w:eastAsia="MS Mincho" w:hAnsi="Times New Roman" w:cs="Times New Roman"/>
                <w:b/>
                <w:sz w:val="20"/>
                <w:szCs w:val="20"/>
                <w:lang w:val="en-GB"/>
              </w:rPr>
            </w:pPr>
            <w:r w:rsidRPr="00B35C7D">
              <w:rPr>
                <w:rFonts w:ascii="Times New Roman" w:eastAsia="MS Mincho" w:hAnsi="Times New Roman" w:cs="Times New Roman"/>
                <w:b/>
                <w:sz w:val="20"/>
                <w:szCs w:val="20"/>
                <w:lang w:val="en-GB"/>
              </w:rPr>
              <w:t>#6</w:t>
            </w:r>
          </w:p>
        </w:tc>
      </w:tr>
      <w:tr w:rsidR="00127331" w:rsidRPr="007B7000" w14:paraId="063AF20C" w14:textId="6E72D34A" w:rsidTr="00127331">
        <w:trPr>
          <w:jc w:val="center"/>
        </w:trPr>
        <w:tc>
          <w:tcPr>
            <w:tcW w:w="2780" w:type="dxa"/>
            <w:vAlign w:val="center"/>
          </w:tcPr>
          <w:p w14:paraId="699D71CC" w14:textId="77777777"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sync</w:t>
            </w:r>
            <w:r w:rsidRPr="00B35C7D">
              <w:rPr>
                <w:rFonts w:ascii="Times New Roman" w:eastAsia="MS Mincho" w:hAnsi="Times New Roman" w:cs="Times New Roman"/>
                <w:sz w:val="20"/>
                <w:szCs w:val="20"/>
                <w:lang w:val="en-GB"/>
              </w:rPr>
              <w:t>(ms)</w:t>
            </w:r>
          </w:p>
        </w:tc>
        <w:tc>
          <w:tcPr>
            <w:tcW w:w="930" w:type="dxa"/>
            <w:vAlign w:val="center"/>
          </w:tcPr>
          <w:p w14:paraId="67872A0C" w14:textId="5EA73930"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364</w:t>
            </w:r>
          </w:p>
        </w:tc>
        <w:tc>
          <w:tcPr>
            <w:tcW w:w="930" w:type="dxa"/>
            <w:vAlign w:val="center"/>
          </w:tcPr>
          <w:p w14:paraId="4764EF3E" w14:textId="55AB890F" w:rsidR="00127331" w:rsidRPr="00B35C7D" w:rsidRDefault="00127331" w:rsidP="00A03636">
            <w:pPr>
              <w:spacing w:after="120" w:line="240" w:lineRule="auto"/>
              <w:jc w:val="left"/>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 xml:space="preserve">   364</w:t>
            </w:r>
          </w:p>
        </w:tc>
        <w:tc>
          <w:tcPr>
            <w:tcW w:w="929" w:type="dxa"/>
            <w:vAlign w:val="center"/>
          </w:tcPr>
          <w:p w14:paraId="72685274" w14:textId="0BDD7CC0"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Times New Roman" w:hAnsi="Times New Roman" w:cs="Times New Roman"/>
                <w:sz w:val="20"/>
                <w:szCs w:val="20"/>
              </w:rPr>
              <w:t>364</w:t>
            </w:r>
          </w:p>
        </w:tc>
        <w:tc>
          <w:tcPr>
            <w:tcW w:w="930" w:type="dxa"/>
            <w:vAlign w:val="center"/>
          </w:tcPr>
          <w:p w14:paraId="2AA3370D" w14:textId="090594C1"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Times New Roman" w:hAnsi="Times New Roman" w:cs="Times New Roman"/>
                <w:sz w:val="20"/>
                <w:szCs w:val="20"/>
              </w:rPr>
              <w:t>364</w:t>
            </w:r>
          </w:p>
        </w:tc>
        <w:tc>
          <w:tcPr>
            <w:tcW w:w="930" w:type="dxa"/>
            <w:vAlign w:val="center"/>
          </w:tcPr>
          <w:p w14:paraId="460F0770" w14:textId="1ACE0E01"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Times New Roman" w:hAnsi="Times New Roman" w:cs="Times New Roman"/>
                <w:sz w:val="20"/>
                <w:szCs w:val="20"/>
              </w:rPr>
              <w:t>364</w:t>
            </w:r>
          </w:p>
        </w:tc>
        <w:tc>
          <w:tcPr>
            <w:tcW w:w="1272" w:type="dxa"/>
            <w:vAlign w:val="center"/>
          </w:tcPr>
          <w:p w14:paraId="44643475" w14:textId="7976D551"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Times New Roman" w:hAnsi="Times New Roman" w:cs="Times New Roman"/>
                <w:sz w:val="20"/>
                <w:szCs w:val="20"/>
              </w:rPr>
              <w:t>364</w:t>
            </w:r>
          </w:p>
        </w:tc>
      </w:tr>
      <w:tr w:rsidR="00127331" w:rsidRPr="007B7000" w14:paraId="1974B3BF" w14:textId="6C803955" w:rsidTr="00127331">
        <w:trPr>
          <w:jc w:val="center"/>
        </w:trPr>
        <w:tc>
          <w:tcPr>
            <w:tcW w:w="2780" w:type="dxa"/>
            <w:vAlign w:val="center"/>
          </w:tcPr>
          <w:p w14:paraId="1E6465A4" w14:textId="77777777"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MIB</w:t>
            </w:r>
            <w:r w:rsidRPr="00B35C7D">
              <w:rPr>
                <w:rFonts w:ascii="Times New Roman" w:eastAsia="MS Mincho" w:hAnsi="Times New Roman" w:cs="Times New Roman"/>
                <w:sz w:val="20"/>
                <w:szCs w:val="20"/>
                <w:lang w:val="en-GB"/>
              </w:rPr>
              <w:t>(ms)</w:t>
            </w:r>
          </w:p>
        </w:tc>
        <w:tc>
          <w:tcPr>
            <w:tcW w:w="930" w:type="dxa"/>
            <w:vAlign w:val="center"/>
          </w:tcPr>
          <w:p w14:paraId="5A117A05" w14:textId="5BF15D03"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c>
          <w:tcPr>
            <w:tcW w:w="930" w:type="dxa"/>
            <w:vAlign w:val="center"/>
          </w:tcPr>
          <w:p w14:paraId="6B82F16C" w14:textId="062E4B14"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c>
          <w:tcPr>
            <w:tcW w:w="929" w:type="dxa"/>
            <w:vAlign w:val="center"/>
          </w:tcPr>
          <w:p w14:paraId="7C6D115F" w14:textId="60DF04CF"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c>
          <w:tcPr>
            <w:tcW w:w="930" w:type="dxa"/>
            <w:vAlign w:val="center"/>
          </w:tcPr>
          <w:p w14:paraId="242E4530" w14:textId="16F2BE1E"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c>
          <w:tcPr>
            <w:tcW w:w="930" w:type="dxa"/>
            <w:vAlign w:val="center"/>
          </w:tcPr>
          <w:p w14:paraId="2DF6C512" w14:textId="612D75DF"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c>
          <w:tcPr>
            <w:tcW w:w="1272" w:type="dxa"/>
            <w:vAlign w:val="center"/>
          </w:tcPr>
          <w:p w14:paraId="7144A9B0" w14:textId="527C1EA6"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631</w:t>
            </w:r>
          </w:p>
        </w:tc>
      </w:tr>
      <w:tr w:rsidR="00127331" w:rsidRPr="007B7000" w14:paraId="672F0206" w14:textId="77777777" w:rsidTr="00127331">
        <w:trPr>
          <w:jc w:val="center"/>
        </w:trPr>
        <w:tc>
          <w:tcPr>
            <w:tcW w:w="2780" w:type="dxa"/>
            <w:vAlign w:val="center"/>
          </w:tcPr>
          <w:p w14:paraId="39276DB2" w14:textId="6008AEEF"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Waiting for NPRACH (ms)</w:t>
            </w:r>
          </w:p>
        </w:tc>
        <w:tc>
          <w:tcPr>
            <w:tcW w:w="930" w:type="dxa"/>
            <w:vAlign w:val="center"/>
          </w:tcPr>
          <w:p w14:paraId="21DC4B6C" w14:textId="71DB609F"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480</w:t>
            </w:r>
          </w:p>
        </w:tc>
        <w:tc>
          <w:tcPr>
            <w:tcW w:w="930" w:type="dxa"/>
            <w:vAlign w:val="center"/>
          </w:tcPr>
          <w:p w14:paraId="1B4626CF" w14:textId="08169E9D"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960</w:t>
            </w:r>
          </w:p>
        </w:tc>
        <w:tc>
          <w:tcPr>
            <w:tcW w:w="929" w:type="dxa"/>
            <w:vAlign w:val="center"/>
          </w:tcPr>
          <w:p w14:paraId="6D4B8BFE" w14:textId="66CFA168"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640</w:t>
            </w:r>
          </w:p>
        </w:tc>
        <w:tc>
          <w:tcPr>
            <w:tcW w:w="930" w:type="dxa"/>
            <w:vAlign w:val="center"/>
          </w:tcPr>
          <w:p w14:paraId="06468357" w14:textId="467011B6"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960</w:t>
            </w:r>
          </w:p>
        </w:tc>
        <w:tc>
          <w:tcPr>
            <w:tcW w:w="930" w:type="dxa"/>
            <w:vAlign w:val="center"/>
          </w:tcPr>
          <w:p w14:paraId="5A296204" w14:textId="5464416B"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1920</w:t>
            </w:r>
          </w:p>
        </w:tc>
        <w:tc>
          <w:tcPr>
            <w:tcW w:w="1272" w:type="dxa"/>
            <w:vAlign w:val="center"/>
          </w:tcPr>
          <w:p w14:paraId="00A22340" w14:textId="252E7898" w:rsidR="00127331" w:rsidRPr="00B35C7D" w:rsidRDefault="00127331" w:rsidP="00A03636">
            <w:pPr>
              <w:spacing w:after="120" w:line="240" w:lineRule="auto"/>
              <w:jc w:val="center"/>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640/960*</w:t>
            </w:r>
          </w:p>
        </w:tc>
      </w:tr>
      <w:tr w:rsidR="00127331" w:rsidRPr="007B7000" w14:paraId="653B2EE9" w14:textId="24BE1E09" w:rsidTr="00127331">
        <w:trPr>
          <w:jc w:val="center"/>
        </w:trPr>
        <w:tc>
          <w:tcPr>
            <w:tcW w:w="2780" w:type="dxa"/>
            <w:vAlign w:val="center"/>
          </w:tcPr>
          <w:p w14:paraId="2D207570" w14:textId="77777777"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PRACH</w:t>
            </w:r>
            <w:r w:rsidRPr="00B35C7D">
              <w:rPr>
                <w:rFonts w:ascii="Times New Roman" w:eastAsia="MS Mincho" w:hAnsi="Times New Roman" w:cs="Times New Roman"/>
                <w:sz w:val="20"/>
                <w:szCs w:val="20"/>
                <w:lang w:val="en-GB"/>
              </w:rPr>
              <w:t>(ms)</w:t>
            </w:r>
          </w:p>
        </w:tc>
        <w:tc>
          <w:tcPr>
            <w:tcW w:w="930" w:type="dxa"/>
            <w:vAlign w:val="center"/>
          </w:tcPr>
          <w:p w14:paraId="08AE7C29" w14:textId="4648E529"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480</w:t>
            </w:r>
          </w:p>
        </w:tc>
        <w:tc>
          <w:tcPr>
            <w:tcW w:w="930" w:type="dxa"/>
            <w:vAlign w:val="center"/>
          </w:tcPr>
          <w:p w14:paraId="28DDEF89" w14:textId="758C26E4"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960</w:t>
            </w:r>
          </w:p>
        </w:tc>
        <w:tc>
          <w:tcPr>
            <w:tcW w:w="929" w:type="dxa"/>
            <w:vAlign w:val="center"/>
          </w:tcPr>
          <w:p w14:paraId="6241A48A" w14:textId="1CBCF73C"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640</w:t>
            </w:r>
          </w:p>
        </w:tc>
        <w:tc>
          <w:tcPr>
            <w:tcW w:w="930" w:type="dxa"/>
            <w:vAlign w:val="center"/>
          </w:tcPr>
          <w:p w14:paraId="772702E2" w14:textId="18657CC2"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960</w:t>
            </w:r>
          </w:p>
        </w:tc>
        <w:tc>
          <w:tcPr>
            <w:tcW w:w="930" w:type="dxa"/>
            <w:vAlign w:val="center"/>
          </w:tcPr>
          <w:p w14:paraId="7C93283F" w14:textId="086FEEA7"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1920</w:t>
            </w:r>
          </w:p>
        </w:tc>
        <w:tc>
          <w:tcPr>
            <w:tcW w:w="1272" w:type="dxa"/>
            <w:vAlign w:val="center"/>
          </w:tcPr>
          <w:p w14:paraId="0792C4BA" w14:textId="49233DC8"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Times New Roman" w:hAnsi="Times New Roman" w:cs="Times New Roman"/>
                <w:sz w:val="20"/>
                <w:szCs w:val="20"/>
              </w:rPr>
              <w:t>640/960*</w:t>
            </w:r>
          </w:p>
        </w:tc>
      </w:tr>
      <w:tr w:rsidR="00127331" w:rsidRPr="007B7000" w14:paraId="6F7A5C89" w14:textId="1CFE74FC" w:rsidTr="00127331">
        <w:trPr>
          <w:jc w:val="center"/>
        </w:trPr>
        <w:tc>
          <w:tcPr>
            <w:tcW w:w="2780" w:type="dxa"/>
            <w:vAlign w:val="center"/>
          </w:tcPr>
          <w:p w14:paraId="2A83A02D" w14:textId="6A1187C7"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RAmsg2-4</w:t>
            </w:r>
            <w:r w:rsidRPr="00B35C7D">
              <w:rPr>
                <w:rFonts w:ascii="Times New Roman" w:eastAsia="MS Mincho" w:hAnsi="Times New Roman" w:cs="Times New Roman"/>
                <w:sz w:val="20"/>
                <w:szCs w:val="20"/>
                <w:lang w:val="en-GB"/>
              </w:rPr>
              <w:t xml:space="preserve"> (ms), including waiting time for NPDCCH and ACK/NACK for msg4</w:t>
            </w:r>
          </w:p>
        </w:tc>
        <w:tc>
          <w:tcPr>
            <w:tcW w:w="930" w:type="dxa"/>
            <w:vAlign w:val="center"/>
          </w:tcPr>
          <w:p w14:paraId="435B533D" w14:textId="1A725129"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2640</w:t>
            </w:r>
          </w:p>
        </w:tc>
        <w:tc>
          <w:tcPr>
            <w:tcW w:w="930" w:type="dxa"/>
            <w:vAlign w:val="center"/>
          </w:tcPr>
          <w:p w14:paraId="21951604" w14:textId="0D6BCBF3"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2934</w:t>
            </w:r>
          </w:p>
        </w:tc>
        <w:tc>
          <w:tcPr>
            <w:tcW w:w="929" w:type="dxa"/>
            <w:vAlign w:val="center"/>
          </w:tcPr>
          <w:p w14:paraId="67CE73B7" w14:textId="330E3D66"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2347</w:t>
            </w:r>
          </w:p>
        </w:tc>
        <w:tc>
          <w:tcPr>
            <w:tcW w:w="930" w:type="dxa"/>
            <w:vAlign w:val="center"/>
          </w:tcPr>
          <w:p w14:paraId="4927CEE8" w14:textId="6FB66FBC"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1886</w:t>
            </w:r>
          </w:p>
        </w:tc>
        <w:tc>
          <w:tcPr>
            <w:tcW w:w="930" w:type="dxa"/>
            <w:vAlign w:val="center"/>
          </w:tcPr>
          <w:p w14:paraId="14126D77" w14:textId="10B35527"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4400</w:t>
            </w:r>
          </w:p>
        </w:tc>
        <w:tc>
          <w:tcPr>
            <w:tcW w:w="1272" w:type="dxa"/>
            <w:vAlign w:val="center"/>
          </w:tcPr>
          <w:p w14:paraId="053803EF" w14:textId="421AF076" w:rsidR="00127331" w:rsidRPr="00B35C7D" w:rsidRDefault="00127331" w:rsidP="00A03636">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3051</w:t>
            </w:r>
          </w:p>
        </w:tc>
      </w:tr>
      <w:tr w:rsidR="00127331" w:rsidRPr="007B7000" w14:paraId="3589D6A2" w14:textId="2520EADD" w:rsidTr="00127331">
        <w:trPr>
          <w:jc w:val="center"/>
        </w:trPr>
        <w:tc>
          <w:tcPr>
            <w:tcW w:w="2780" w:type="dxa"/>
            <w:vAlign w:val="center"/>
          </w:tcPr>
          <w:p w14:paraId="443CDFBE" w14:textId="7BA983B9"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ULgrant</w:t>
            </w:r>
            <w:r w:rsidRPr="00B35C7D">
              <w:rPr>
                <w:rFonts w:ascii="Times New Roman" w:eastAsia="MS Mincho" w:hAnsi="Times New Roman" w:cs="Times New Roman"/>
                <w:sz w:val="20"/>
                <w:szCs w:val="20"/>
                <w:lang w:val="en-GB"/>
              </w:rPr>
              <w:t>(ms), including waiting time for NPDCCH</w:t>
            </w:r>
          </w:p>
        </w:tc>
        <w:tc>
          <w:tcPr>
            <w:tcW w:w="930" w:type="dxa"/>
            <w:vAlign w:val="center"/>
          </w:tcPr>
          <w:p w14:paraId="7F5521C4" w14:textId="45D16644"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800</w:t>
            </w:r>
          </w:p>
        </w:tc>
        <w:tc>
          <w:tcPr>
            <w:tcW w:w="930" w:type="dxa"/>
            <w:vAlign w:val="center"/>
          </w:tcPr>
          <w:p w14:paraId="7FFD5A9B" w14:textId="7375CCC0"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534</w:t>
            </w:r>
          </w:p>
        </w:tc>
        <w:tc>
          <w:tcPr>
            <w:tcW w:w="929" w:type="dxa"/>
            <w:vAlign w:val="center"/>
          </w:tcPr>
          <w:p w14:paraId="2CE70B69" w14:textId="1CC229A8"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534</w:t>
            </w:r>
          </w:p>
        </w:tc>
        <w:tc>
          <w:tcPr>
            <w:tcW w:w="930" w:type="dxa"/>
            <w:vAlign w:val="center"/>
          </w:tcPr>
          <w:p w14:paraId="12313A8C" w14:textId="68D1A81B"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457</w:t>
            </w:r>
          </w:p>
        </w:tc>
        <w:tc>
          <w:tcPr>
            <w:tcW w:w="930" w:type="dxa"/>
            <w:vAlign w:val="center"/>
          </w:tcPr>
          <w:p w14:paraId="3042AD31" w14:textId="0E0051BE" w:rsidR="00127331" w:rsidRPr="00B35C7D" w:rsidRDefault="00127331" w:rsidP="00A03636">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400</w:t>
            </w:r>
          </w:p>
        </w:tc>
        <w:tc>
          <w:tcPr>
            <w:tcW w:w="1272" w:type="dxa"/>
            <w:vAlign w:val="center"/>
          </w:tcPr>
          <w:p w14:paraId="616A54A8" w14:textId="0CCBEC35" w:rsidR="00127331" w:rsidRPr="00B35C7D" w:rsidRDefault="00127331" w:rsidP="0055154A">
            <w:pPr>
              <w:spacing w:after="120" w:line="240" w:lineRule="auto"/>
              <w:jc w:val="left"/>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 xml:space="preserve">   1067</w:t>
            </w:r>
          </w:p>
        </w:tc>
      </w:tr>
      <w:tr w:rsidR="00127331" w:rsidRPr="007B7000" w14:paraId="2DC584D8" w14:textId="53433C6E" w:rsidTr="00127331">
        <w:trPr>
          <w:jc w:val="center"/>
        </w:trPr>
        <w:tc>
          <w:tcPr>
            <w:tcW w:w="2780" w:type="dxa"/>
            <w:vAlign w:val="center"/>
          </w:tcPr>
          <w:p w14:paraId="03FBD51B" w14:textId="4EDFA45D"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w:t>
            </w:r>
            <w:r w:rsidRPr="00B35C7D">
              <w:rPr>
                <w:rFonts w:ascii="Times New Roman" w:eastAsia="MS Mincho" w:hAnsi="Times New Roman" w:cs="Times New Roman"/>
                <w:sz w:val="20"/>
                <w:szCs w:val="20"/>
                <w:vertAlign w:val="subscript"/>
                <w:lang w:val="en-GB"/>
              </w:rPr>
              <w:t>ULdata</w:t>
            </w:r>
            <w:r w:rsidRPr="00B35C7D">
              <w:rPr>
                <w:rFonts w:ascii="Times New Roman" w:eastAsia="MS Mincho" w:hAnsi="Times New Roman" w:cs="Times New Roman"/>
                <w:sz w:val="20"/>
                <w:szCs w:val="20"/>
                <w:lang w:val="en-GB"/>
              </w:rPr>
              <w:t>(ms)</w:t>
            </w:r>
          </w:p>
        </w:tc>
        <w:tc>
          <w:tcPr>
            <w:tcW w:w="930" w:type="dxa"/>
            <w:vAlign w:val="center"/>
          </w:tcPr>
          <w:p w14:paraId="61D920D7" w14:textId="4EAB7DE0"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6400</w:t>
            </w:r>
          </w:p>
        </w:tc>
        <w:tc>
          <w:tcPr>
            <w:tcW w:w="930" w:type="dxa"/>
            <w:vAlign w:val="center"/>
          </w:tcPr>
          <w:p w14:paraId="61CDC32D" w14:textId="2408E287"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12800</w:t>
            </w:r>
          </w:p>
        </w:tc>
        <w:tc>
          <w:tcPr>
            <w:tcW w:w="929" w:type="dxa"/>
            <w:vAlign w:val="center"/>
          </w:tcPr>
          <w:p w14:paraId="392B7C65" w14:textId="03E71AF4"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sz w:val="20"/>
                <w:szCs w:val="20"/>
                <w:lang w:val="en-GB"/>
              </w:rPr>
              <w:t>8533</w:t>
            </w:r>
          </w:p>
        </w:tc>
        <w:tc>
          <w:tcPr>
            <w:tcW w:w="930" w:type="dxa"/>
            <w:vAlign w:val="center"/>
          </w:tcPr>
          <w:p w14:paraId="6076A8D0" w14:textId="5401C82C"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sz w:val="20"/>
                <w:szCs w:val="20"/>
                <w:lang w:val="en-GB"/>
              </w:rPr>
              <w:t>12800</w:t>
            </w:r>
          </w:p>
        </w:tc>
        <w:tc>
          <w:tcPr>
            <w:tcW w:w="930" w:type="dxa"/>
            <w:vAlign w:val="center"/>
          </w:tcPr>
          <w:p w14:paraId="1E44D040" w14:textId="63692F67"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sz w:val="20"/>
                <w:szCs w:val="20"/>
                <w:lang w:val="en-GB"/>
              </w:rPr>
              <w:t>25600</w:t>
            </w:r>
          </w:p>
        </w:tc>
        <w:tc>
          <w:tcPr>
            <w:tcW w:w="1272" w:type="dxa"/>
            <w:vAlign w:val="center"/>
          </w:tcPr>
          <w:p w14:paraId="498FAE93" w14:textId="554C6014"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sz w:val="20"/>
                <w:szCs w:val="20"/>
                <w:lang w:val="en-GB"/>
              </w:rPr>
              <w:t>5120</w:t>
            </w:r>
          </w:p>
        </w:tc>
      </w:tr>
      <w:tr w:rsidR="00127331" w:rsidRPr="007B7000" w14:paraId="38DF8C46" w14:textId="194AA755" w:rsidTr="00127331">
        <w:trPr>
          <w:jc w:val="center"/>
        </w:trPr>
        <w:tc>
          <w:tcPr>
            <w:tcW w:w="2780" w:type="dxa"/>
            <w:vAlign w:val="center"/>
          </w:tcPr>
          <w:p w14:paraId="0D8610BD" w14:textId="77777777"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Total time (ms)</w:t>
            </w:r>
          </w:p>
        </w:tc>
        <w:tc>
          <w:tcPr>
            <w:tcW w:w="930" w:type="dxa"/>
            <w:vAlign w:val="center"/>
          </w:tcPr>
          <w:p w14:paraId="179C7224" w14:textId="47AAF306"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11795</w:t>
            </w:r>
          </w:p>
        </w:tc>
        <w:tc>
          <w:tcPr>
            <w:tcW w:w="930" w:type="dxa"/>
            <w:vAlign w:val="center"/>
          </w:tcPr>
          <w:p w14:paraId="67D38699" w14:textId="043A193B" w:rsidR="00127331" w:rsidRPr="00B35C7D" w:rsidRDefault="00127331" w:rsidP="0055154A">
            <w:pPr>
              <w:spacing w:after="120" w:line="240" w:lineRule="auto"/>
              <w:jc w:val="center"/>
              <w:rPr>
                <w:rFonts w:ascii="Times New Roman" w:eastAsia="MS Mincho" w:hAnsi="Times New Roman" w:cs="Times New Roman"/>
                <w:sz w:val="20"/>
                <w:szCs w:val="20"/>
                <w:lang w:val="en-GB"/>
              </w:rPr>
            </w:pPr>
            <w:r w:rsidRPr="00B35C7D">
              <w:rPr>
                <w:rFonts w:ascii="Times New Roman" w:eastAsia="MS Mincho" w:hAnsi="Times New Roman" w:cs="Times New Roman"/>
                <w:sz w:val="20"/>
                <w:szCs w:val="20"/>
                <w:lang w:val="en-GB"/>
              </w:rPr>
              <w:t>19183</w:t>
            </w:r>
          </w:p>
        </w:tc>
        <w:tc>
          <w:tcPr>
            <w:tcW w:w="929" w:type="dxa"/>
            <w:vAlign w:val="center"/>
          </w:tcPr>
          <w:p w14:paraId="1E94CD5F" w14:textId="43E69D10"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13689</w:t>
            </w:r>
          </w:p>
        </w:tc>
        <w:tc>
          <w:tcPr>
            <w:tcW w:w="930" w:type="dxa"/>
            <w:vAlign w:val="center"/>
          </w:tcPr>
          <w:p w14:paraId="3418026D" w14:textId="0124443C"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18058</w:t>
            </w:r>
          </w:p>
        </w:tc>
        <w:tc>
          <w:tcPr>
            <w:tcW w:w="930" w:type="dxa"/>
            <w:vAlign w:val="center"/>
          </w:tcPr>
          <w:p w14:paraId="03114088" w14:textId="675A67F8"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35235</w:t>
            </w:r>
          </w:p>
        </w:tc>
        <w:tc>
          <w:tcPr>
            <w:tcW w:w="1272" w:type="dxa"/>
            <w:vAlign w:val="center"/>
          </w:tcPr>
          <w:p w14:paraId="4B95B562" w14:textId="12537B73" w:rsidR="00127331" w:rsidRPr="00B35C7D" w:rsidRDefault="00127331" w:rsidP="0055154A">
            <w:pPr>
              <w:spacing w:after="120" w:line="240" w:lineRule="auto"/>
              <w:jc w:val="center"/>
              <w:rPr>
                <w:rFonts w:ascii="Times New Roman" w:eastAsia="MS Mincho" w:hAnsi="Times New Roman" w:cs="Times New Roman"/>
                <w:color w:val="000000"/>
                <w:sz w:val="20"/>
                <w:szCs w:val="20"/>
                <w:lang w:val="en-GB"/>
              </w:rPr>
            </w:pPr>
            <w:r w:rsidRPr="00B35C7D">
              <w:rPr>
                <w:rFonts w:ascii="Times New Roman" w:eastAsia="MS Mincho" w:hAnsi="Times New Roman" w:cs="Times New Roman"/>
                <w:color w:val="000000"/>
                <w:sz w:val="20"/>
                <w:szCs w:val="20"/>
                <w:lang w:val="en-GB"/>
              </w:rPr>
              <w:t>11352/11672</w:t>
            </w:r>
          </w:p>
        </w:tc>
      </w:tr>
    </w:tbl>
    <w:p w14:paraId="1672F858" w14:textId="59248974" w:rsidR="00A03636" w:rsidRPr="00B35C7D" w:rsidRDefault="00144D2D" w:rsidP="001657E8">
      <w:pPr>
        <w:spacing w:after="0" w:line="240" w:lineRule="auto"/>
        <w:jc w:val="both"/>
        <w:rPr>
          <w:rFonts w:ascii="Times New Roman" w:eastAsia="Times New Roman" w:hAnsi="Times New Roman" w:cs="Times New Roman"/>
          <w:sz w:val="16"/>
          <w:szCs w:val="16"/>
        </w:rPr>
      </w:pPr>
      <w:r w:rsidRPr="00B35C7D">
        <w:rPr>
          <w:rFonts w:ascii="Times New Roman" w:eastAsia="Times New Roman" w:hAnsi="Times New Roman" w:cs="Times New Roman"/>
          <w:sz w:val="16"/>
          <w:szCs w:val="16"/>
        </w:rPr>
        <w:t xml:space="preserve">*Note: </w:t>
      </w:r>
      <w:r w:rsidR="001A1BB7" w:rsidRPr="00B35C7D">
        <w:rPr>
          <w:rFonts w:ascii="Times New Roman" w:eastAsia="Times New Roman" w:hAnsi="Times New Roman" w:cs="Times New Roman"/>
          <w:sz w:val="16"/>
          <w:szCs w:val="16"/>
        </w:rPr>
        <w:t xml:space="preserve">TDD configuration #6 has an unbalanced number of UL within a radio frame. Thus, the latency is </w:t>
      </w:r>
      <w:r w:rsidRPr="00B35C7D">
        <w:rPr>
          <w:rFonts w:ascii="Times New Roman" w:hAnsi="Times New Roman" w:cs="Times New Roman"/>
          <w:sz w:val="16"/>
          <w:szCs w:val="16"/>
        </w:rPr>
        <w:t xml:space="preserve">640ms when </w:t>
      </w:r>
      <w:r w:rsidR="001A1BB7" w:rsidRPr="00B35C7D">
        <w:rPr>
          <w:rFonts w:ascii="Times New Roman" w:hAnsi="Times New Roman" w:cs="Times New Roman"/>
          <w:sz w:val="16"/>
          <w:szCs w:val="16"/>
        </w:rPr>
        <w:t xml:space="preserve">NPRACH </w:t>
      </w:r>
      <w:r w:rsidRPr="00B35C7D">
        <w:rPr>
          <w:rFonts w:ascii="Times New Roman" w:hAnsi="Times New Roman" w:cs="Times New Roman"/>
          <w:sz w:val="16"/>
          <w:szCs w:val="16"/>
        </w:rPr>
        <w:t xml:space="preserve">Format 2 is used and </w:t>
      </w:r>
      <w:r w:rsidRPr="00B35C7D">
        <w:rPr>
          <w:rFonts w:ascii="Times New Roman" w:hAnsi="Times New Roman" w:cs="Times New Roman"/>
          <w:bCs/>
          <w:sz w:val="16"/>
          <w:szCs w:val="16"/>
          <w:lang w:eastAsia="ja-JP"/>
        </w:rPr>
        <w:t>two symbol groups fit in 3 UL subframes</w:t>
      </w:r>
      <w:r w:rsidRPr="00B35C7D">
        <w:rPr>
          <w:rFonts w:ascii="Times New Roman" w:hAnsi="Times New Roman" w:cs="Times New Roman"/>
          <w:sz w:val="16"/>
          <w:szCs w:val="16"/>
        </w:rPr>
        <w:t xml:space="preserve"> (</w:t>
      </w:r>
      <w:r w:rsidR="001A1BB7" w:rsidRPr="00B35C7D">
        <w:rPr>
          <w:rFonts w:ascii="Times New Roman" w:hAnsi="Times New Roman" w:cs="Times New Roman"/>
          <w:sz w:val="16"/>
          <w:szCs w:val="16"/>
        </w:rPr>
        <w:t xml:space="preserve">i.e., </w:t>
      </w:r>
      <w:r w:rsidRPr="00B35C7D">
        <w:rPr>
          <w:rFonts w:ascii="Times New Roman" w:hAnsi="Times New Roman" w:cs="Times New Roman"/>
          <w:sz w:val="16"/>
          <w:szCs w:val="16"/>
        </w:rPr>
        <w:t xml:space="preserve">two ULs per radio frame wouldn’t be used by NPRACH) / 960ms when </w:t>
      </w:r>
      <w:r w:rsidR="001A1BB7" w:rsidRPr="00B35C7D">
        <w:rPr>
          <w:rFonts w:ascii="Times New Roman" w:hAnsi="Times New Roman" w:cs="Times New Roman"/>
          <w:sz w:val="16"/>
          <w:szCs w:val="16"/>
        </w:rPr>
        <w:t xml:space="preserve">NPRACH </w:t>
      </w:r>
      <w:r w:rsidRPr="00B35C7D">
        <w:rPr>
          <w:rFonts w:ascii="Times New Roman" w:hAnsi="Times New Roman" w:cs="Times New Roman"/>
          <w:sz w:val="16"/>
          <w:szCs w:val="16"/>
        </w:rPr>
        <w:t xml:space="preserve">Format 1 is used and </w:t>
      </w:r>
      <w:r w:rsidRPr="00B35C7D">
        <w:rPr>
          <w:rFonts w:ascii="Times New Roman" w:hAnsi="Times New Roman" w:cs="Times New Roman"/>
          <w:bCs/>
          <w:sz w:val="16"/>
          <w:szCs w:val="16"/>
          <w:lang w:eastAsia="ja-JP"/>
        </w:rPr>
        <w:t>two symbol groups fit in 2 UL subframes</w:t>
      </w:r>
      <w:r w:rsidRPr="00B35C7D">
        <w:rPr>
          <w:rFonts w:ascii="Times New Roman" w:hAnsi="Times New Roman" w:cs="Times New Roman"/>
          <w:sz w:val="16"/>
          <w:szCs w:val="16"/>
        </w:rPr>
        <w:t xml:space="preserve">  (</w:t>
      </w:r>
      <w:r w:rsidR="001A1BB7" w:rsidRPr="00B35C7D">
        <w:rPr>
          <w:rFonts w:ascii="Times New Roman" w:hAnsi="Times New Roman" w:cs="Times New Roman"/>
          <w:sz w:val="16"/>
          <w:szCs w:val="16"/>
        </w:rPr>
        <w:t>i.e.,</w:t>
      </w:r>
      <w:r w:rsidRPr="00B35C7D">
        <w:rPr>
          <w:rFonts w:ascii="Times New Roman" w:hAnsi="Times New Roman" w:cs="Times New Roman"/>
          <w:sz w:val="16"/>
          <w:szCs w:val="16"/>
        </w:rPr>
        <w:t xml:space="preserve"> three ULs per radio frame wouldn’t be used by NPRACH).</w:t>
      </w:r>
    </w:p>
    <w:p w14:paraId="707C7B4B" w14:textId="77777777" w:rsidR="00A03636" w:rsidRPr="00B35C7D" w:rsidRDefault="00A03636" w:rsidP="001657E8">
      <w:pPr>
        <w:spacing w:after="0" w:line="240" w:lineRule="auto"/>
        <w:jc w:val="both"/>
        <w:rPr>
          <w:rFonts w:ascii="Times New Roman" w:eastAsia="Times New Roman" w:hAnsi="Times New Roman" w:cs="Times New Roman"/>
          <w:sz w:val="20"/>
        </w:rPr>
      </w:pPr>
    </w:p>
    <w:p w14:paraId="54A38540" w14:textId="2B9FC3E9" w:rsidR="00B6521C" w:rsidRPr="00B35C7D" w:rsidRDefault="00DF6B15" w:rsidP="001657E8">
      <w:pPr>
        <w:spacing w:after="0" w:line="240" w:lineRule="auto"/>
        <w:jc w:val="both"/>
        <w:rPr>
          <w:rFonts w:ascii="Times New Roman" w:eastAsia="Times New Roman" w:hAnsi="Times New Roman" w:cs="Times New Roman"/>
          <w:sz w:val="20"/>
        </w:rPr>
      </w:pPr>
      <w:r w:rsidRPr="00B35C7D">
        <w:rPr>
          <w:rFonts w:ascii="Times New Roman" w:eastAsia="Times New Roman" w:hAnsi="Times New Roman" w:cs="Times New Roman"/>
          <w:sz w:val="20"/>
        </w:rPr>
        <w:t xml:space="preserve">As we can see that there is none of the TDD configurations can meet the 10 seconds latency requirements even for the standalone case at 164 dB MCL. Hence, we can </w:t>
      </w:r>
      <w:r w:rsidR="00185920" w:rsidRPr="00B35C7D">
        <w:rPr>
          <w:rFonts w:ascii="Times New Roman" w:eastAsia="Times New Roman" w:hAnsi="Times New Roman" w:cs="Times New Roman"/>
          <w:sz w:val="20"/>
        </w:rPr>
        <w:t xml:space="preserve">expect a larger </w:t>
      </w:r>
      <w:r w:rsidRPr="00B35C7D">
        <w:rPr>
          <w:rFonts w:ascii="Times New Roman" w:eastAsia="Times New Roman" w:hAnsi="Times New Roman" w:cs="Times New Roman"/>
          <w:sz w:val="20"/>
        </w:rPr>
        <w:t xml:space="preserve">latency for the inband/guardband cases. </w:t>
      </w:r>
      <w:r w:rsidR="00643D5A" w:rsidRPr="00B35C7D">
        <w:rPr>
          <w:rFonts w:ascii="Times New Roman" w:eastAsia="Times New Roman" w:hAnsi="Times New Roman" w:cs="Times New Roman"/>
          <w:sz w:val="20"/>
        </w:rPr>
        <w:t xml:space="preserve">This indicates </w:t>
      </w:r>
      <w:r w:rsidR="00643D5A" w:rsidRPr="00B35C7D">
        <w:rPr>
          <w:rFonts w:ascii="Times New Roman" w:eastAsia="Times New Roman" w:hAnsi="Times New Roman" w:cs="Times New Roman"/>
          <w:sz w:val="20"/>
        </w:rPr>
        <w:lastRenderedPageBreak/>
        <w:t xml:space="preserve">that the application layer data rate of 160 bps cannot be guaranteed at the 164 dB MCL. </w:t>
      </w:r>
      <w:r w:rsidRPr="00B35C7D">
        <w:rPr>
          <w:rFonts w:ascii="Times New Roman" w:eastAsia="Times New Roman" w:hAnsi="Times New Roman" w:cs="Times New Roman"/>
          <w:sz w:val="20"/>
        </w:rPr>
        <w:t>Therefore, t</w:t>
      </w:r>
      <w:r w:rsidR="00B6521C" w:rsidRPr="00B35C7D">
        <w:rPr>
          <w:rFonts w:ascii="Times New Roman" w:eastAsia="Times New Roman" w:hAnsi="Times New Roman" w:cs="Times New Roman"/>
          <w:sz w:val="20"/>
        </w:rPr>
        <w:t>he above MCL target seems to be too aggressive to be met</w:t>
      </w:r>
      <w:r w:rsidR="0019700E" w:rsidRPr="00B35C7D">
        <w:rPr>
          <w:rFonts w:ascii="Times New Roman" w:eastAsia="Times New Roman" w:hAnsi="Times New Roman" w:cs="Times New Roman"/>
          <w:sz w:val="20"/>
        </w:rPr>
        <w:t>,</w:t>
      </w:r>
      <w:r w:rsidR="00B6521C" w:rsidRPr="00B35C7D">
        <w:rPr>
          <w:rFonts w:ascii="Times New Roman" w:eastAsia="Times New Roman" w:hAnsi="Times New Roman" w:cs="Times New Roman"/>
          <w:sz w:val="20"/>
        </w:rPr>
        <w:t xml:space="preserve"> since not all the subframes </w:t>
      </w:r>
      <w:r w:rsidR="00292B7D" w:rsidRPr="00B35C7D">
        <w:rPr>
          <w:rFonts w:ascii="Times New Roman" w:eastAsia="Times New Roman" w:hAnsi="Times New Roman" w:cs="Times New Roman"/>
          <w:sz w:val="20"/>
        </w:rPr>
        <w:t xml:space="preserve">in </w:t>
      </w:r>
      <w:r w:rsidR="004360E5" w:rsidRPr="00B35C7D">
        <w:rPr>
          <w:rFonts w:ascii="Times New Roman" w:eastAsia="Times New Roman" w:hAnsi="Times New Roman" w:cs="Times New Roman"/>
          <w:sz w:val="20"/>
        </w:rPr>
        <w:t xml:space="preserve">a </w:t>
      </w:r>
      <w:r w:rsidR="00292B7D" w:rsidRPr="00B35C7D">
        <w:rPr>
          <w:rFonts w:ascii="Times New Roman" w:eastAsia="Times New Roman" w:hAnsi="Times New Roman" w:cs="Times New Roman"/>
          <w:sz w:val="20"/>
        </w:rPr>
        <w:t xml:space="preserve">radio frame </w:t>
      </w:r>
      <w:r w:rsidR="00B6521C" w:rsidRPr="00B35C7D">
        <w:rPr>
          <w:rFonts w:ascii="Times New Roman" w:eastAsia="Times New Roman" w:hAnsi="Times New Roman" w:cs="Times New Roman"/>
          <w:sz w:val="20"/>
        </w:rPr>
        <w:t xml:space="preserve">are </w:t>
      </w:r>
      <w:r w:rsidR="00292B7D" w:rsidRPr="00B35C7D">
        <w:rPr>
          <w:rFonts w:ascii="Times New Roman" w:eastAsia="Times New Roman" w:hAnsi="Times New Roman" w:cs="Times New Roman"/>
          <w:sz w:val="20"/>
        </w:rPr>
        <w:t>usable</w:t>
      </w:r>
      <w:r w:rsidR="00B6521C" w:rsidRPr="00B35C7D">
        <w:rPr>
          <w:rFonts w:ascii="Times New Roman" w:eastAsia="Times New Roman" w:hAnsi="Times New Roman" w:cs="Times New Roman"/>
          <w:sz w:val="20"/>
        </w:rPr>
        <w:t xml:space="preserve"> for DL</w:t>
      </w:r>
      <w:r w:rsidR="00292B7D" w:rsidRPr="00B35C7D">
        <w:rPr>
          <w:rFonts w:ascii="Times New Roman" w:eastAsia="Times New Roman" w:hAnsi="Times New Roman" w:cs="Times New Roman"/>
          <w:sz w:val="20"/>
        </w:rPr>
        <w:t xml:space="preserve"> or UL</w:t>
      </w:r>
      <w:r w:rsidR="001657E8" w:rsidRPr="00B35C7D">
        <w:rPr>
          <w:rFonts w:ascii="Times New Roman" w:eastAsia="Times New Roman" w:hAnsi="Times New Roman" w:cs="Times New Roman"/>
          <w:sz w:val="20"/>
        </w:rPr>
        <w:t xml:space="preserve"> respectively</w:t>
      </w:r>
      <w:r w:rsidR="00B6521C" w:rsidRPr="00B35C7D">
        <w:rPr>
          <w:rFonts w:ascii="Times New Roman" w:eastAsia="Times New Roman" w:hAnsi="Times New Roman" w:cs="Times New Roman"/>
          <w:sz w:val="20"/>
        </w:rPr>
        <w:t>.</w:t>
      </w:r>
      <w:r w:rsidR="00292B7D" w:rsidRPr="00B35C7D">
        <w:rPr>
          <w:rFonts w:ascii="Times New Roman" w:eastAsia="Times New Roman" w:hAnsi="Times New Roman" w:cs="Times New Roman"/>
          <w:sz w:val="20"/>
        </w:rPr>
        <w:t xml:space="preserve"> Thus, </w:t>
      </w:r>
      <w:r w:rsidR="0019700E" w:rsidRPr="00B35C7D">
        <w:rPr>
          <w:rFonts w:ascii="Times New Roman" w:eastAsia="Times New Roman" w:hAnsi="Times New Roman" w:cs="Times New Roman"/>
          <w:sz w:val="20"/>
        </w:rPr>
        <w:t>we will have to find a way to compensate for the lack of available resources in both directions</w:t>
      </w:r>
      <w:r w:rsidR="008F27D9" w:rsidRPr="00B35C7D">
        <w:rPr>
          <w:rFonts w:ascii="Times New Roman" w:eastAsia="Times New Roman" w:hAnsi="Times New Roman" w:cs="Times New Roman"/>
          <w:sz w:val="20"/>
        </w:rPr>
        <w:t>, which</w:t>
      </w:r>
      <w:r w:rsidR="00292B7D" w:rsidRPr="00B35C7D">
        <w:rPr>
          <w:rFonts w:ascii="Times New Roman" w:eastAsia="Times New Roman" w:hAnsi="Times New Roman" w:cs="Times New Roman"/>
          <w:sz w:val="20"/>
        </w:rPr>
        <w:t xml:space="preserve"> may </w:t>
      </w:r>
      <w:r w:rsidR="00920072" w:rsidRPr="00B35C7D">
        <w:rPr>
          <w:rFonts w:ascii="Times New Roman" w:eastAsia="Times New Roman" w:hAnsi="Times New Roman" w:cs="Times New Roman"/>
          <w:sz w:val="20"/>
        </w:rPr>
        <w:t xml:space="preserve">easily </w:t>
      </w:r>
      <w:r w:rsidR="00292B7D" w:rsidRPr="00B35C7D">
        <w:rPr>
          <w:rFonts w:ascii="Times New Roman" w:eastAsia="Times New Roman" w:hAnsi="Times New Roman" w:cs="Times New Roman"/>
          <w:sz w:val="20"/>
        </w:rPr>
        <w:t xml:space="preserve">take us to consider </w:t>
      </w:r>
      <w:r w:rsidR="001657E8" w:rsidRPr="00B35C7D">
        <w:rPr>
          <w:rFonts w:ascii="Times New Roman" w:eastAsia="Times New Roman" w:hAnsi="Times New Roman" w:cs="Times New Roman"/>
          <w:sz w:val="20"/>
        </w:rPr>
        <w:t>(i.e., among</w:t>
      </w:r>
      <w:r w:rsidR="00292B7D" w:rsidRPr="00B35C7D">
        <w:rPr>
          <w:rFonts w:ascii="Times New Roman" w:eastAsia="Times New Roman" w:hAnsi="Times New Roman" w:cs="Times New Roman"/>
          <w:sz w:val="20"/>
        </w:rPr>
        <w:t xml:space="preserve"> other things</w:t>
      </w:r>
      <w:r w:rsidR="001657E8" w:rsidRPr="00B35C7D">
        <w:rPr>
          <w:rFonts w:ascii="Times New Roman" w:eastAsia="Times New Roman" w:hAnsi="Times New Roman" w:cs="Times New Roman"/>
          <w:sz w:val="20"/>
        </w:rPr>
        <w:t>) the following</w:t>
      </w:r>
      <w:r w:rsidR="00292B7D" w:rsidRPr="00B35C7D">
        <w:rPr>
          <w:rFonts w:ascii="Times New Roman" w:eastAsia="Times New Roman" w:hAnsi="Times New Roman" w:cs="Times New Roman"/>
          <w:sz w:val="20"/>
        </w:rPr>
        <w:t>:</w:t>
      </w:r>
    </w:p>
    <w:p w14:paraId="321D481E" w14:textId="77777777" w:rsidR="00292B7D" w:rsidRPr="00B35C7D" w:rsidRDefault="00292B7D" w:rsidP="00B6521C">
      <w:pPr>
        <w:spacing w:after="0" w:line="240" w:lineRule="auto"/>
        <w:rPr>
          <w:rFonts w:ascii="Times New Roman" w:eastAsia="Times New Roman" w:hAnsi="Times New Roman" w:cs="Times New Roman"/>
          <w:sz w:val="20"/>
        </w:rPr>
      </w:pPr>
    </w:p>
    <w:p w14:paraId="4379CC4F" w14:textId="0E95983A" w:rsidR="00292B7D" w:rsidRPr="00B35C7D" w:rsidRDefault="004360E5" w:rsidP="00185920">
      <w:pPr>
        <w:numPr>
          <w:ilvl w:val="1"/>
          <w:numId w:val="13"/>
        </w:numPr>
        <w:spacing w:after="0" w:line="240" w:lineRule="auto"/>
        <w:rPr>
          <w:rFonts w:ascii="Times New Roman" w:eastAsia="Times New Roman" w:hAnsi="Times New Roman" w:cs="Times New Roman"/>
          <w:sz w:val="20"/>
        </w:rPr>
      </w:pPr>
      <w:r w:rsidRPr="00B35C7D">
        <w:rPr>
          <w:rFonts w:ascii="Times New Roman" w:eastAsia="Times New Roman" w:hAnsi="Times New Roman" w:cs="Times New Roman"/>
          <w:sz w:val="20"/>
        </w:rPr>
        <w:t>Ending up with an</w:t>
      </w:r>
      <w:r w:rsidR="00292B7D" w:rsidRPr="00B35C7D">
        <w:rPr>
          <w:rFonts w:ascii="Times New Roman" w:eastAsia="Times New Roman" w:hAnsi="Times New Roman" w:cs="Times New Roman"/>
          <w:sz w:val="20"/>
        </w:rPr>
        <w:t xml:space="preserve"> excessive relaxation of the latency for NB-IoT TDD</w:t>
      </w:r>
      <w:r w:rsidR="001657E8" w:rsidRPr="00B35C7D">
        <w:rPr>
          <w:rFonts w:ascii="Times New Roman" w:eastAsia="Times New Roman" w:hAnsi="Times New Roman" w:cs="Times New Roman"/>
          <w:sz w:val="20"/>
        </w:rPr>
        <w:t>.</w:t>
      </w:r>
    </w:p>
    <w:p w14:paraId="203BDB1E" w14:textId="1FD72A89" w:rsidR="00B6521C" w:rsidRPr="00B35C7D" w:rsidRDefault="001657E8" w:rsidP="00185920">
      <w:pPr>
        <w:numPr>
          <w:ilvl w:val="1"/>
          <w:numId w:val="13"/>
        </w:numPr>
        <w:spacing w:after="0" w:line="240" w:lineRule="auto"/>
        <w:rPr>
          <w:rFonts w:ascii="Times New Roman" w:eastAsia="Times New Roman" w:hAnsi="Times New Roman" w:cs="Times New Roman"/>
          <w:sz w:val="20"/>
        </w:rPr>
      </w:pPr>
      <w:r w:rsidRPr="00B35C7D">
        <w:rPr>
          <w:rFonts w:ascii="Times New Roman" w:eastAsia="Times New Roman" w:hAnsi="Times New Roman" w:cs="Times New Roman"/>
          <w:sz w:val="20"/>
        </w:rPr>
        <w:t xml:space="preserve">The need of using a much more </w:t>
      </w:r>
      <w:r w:rsidR="00B6521C" w:rsidRPr="00B35C7D">
        <w:rPr>
          <w:rFonts w:ascii="Times New Roman" w:eastAsia="Times New Roman" w:hAnsi="Times New Roman" w:cs="Times New Roman"/>
          <w:sz w:val="20"/>
        </w:rPr>
        <w:t xml:space="preserve">aggressive </w:t>
      </w:r>
      <w:r w:rsidRPr="00B35C7D">
        <w:rPr>
          <w:rFonts w:ascii="Times New Roman" w:eastAsia="Times New Roman" w:hAnsi="Times New Roman" w:cs="Times New Roman"/>
          <w:sz w:val="20"/>
        </w:rPr>
        <w:t>channel estimator.</w:t>
      </w:r>
    </w:p>
    <w:p w14:paraId="7CE24FF6" w14:textId="0BD3C43F" w:rsidR="001657E8" w:rsidRPr="00B35C7D" w:rsidRDefault="001657E8" w:rsidP="00185920">
      <w:pPr>
        <w:numPr>
          <w:ilvl w:val="1"/>
          <w:numId w:val="13"/>
        </w:numPr>
        <w:spacing w:after="0" w:line="240" w:lineRule="auto"/>
        <w:rPr>
          <w:rFonts w:ascii="Times New Roman" w:eastAsia="Times New Roman" w:hAnsi="Times New Roman" w:cs="Times New Roman"/>
          <w:sz w:val="20"/>
        </w:rPr>
      </w:pPr>
      <w:r w:rsidRPr="00B35C7D">
        <w:rPr>
          <w:rFonts w:ascii="Times New Roman" w:eastAsia="Times New Roman" w:hAnsi="Times New Roman" w:cs="Times New Roman"/>
          <w:sz w:val="20"/>
        </w:rPr>
        <w:t>Make use of the DwPTS, and UpPTS in the special subframes.</w:t>
      </w:r>
    </w:p>
    <w:p w14:paraId="561C4EEC" w14:textId="77777777" w:rsidR="008F27D9" w:rsidRPr="00B35C7D" w:rsidRDefault="008F27D9" w:rsidP="008F27D9">
      <w:pPr>
        <w:spacing w:after="0" w:line="240" w:lineRule="auto"/>
        <w:ind w:left="1440"/>
        <w:rPr>
          <w:rFonts w:ascii="Times New Roman" w:eastAsia="Times New Roman" w:hAnsi="Times New Roman" w:cs="Times New Roman"/>
          <w:sz w:val="20"/>
        </w:rPr>
      </w:pPr>
    </w:p>
    <w:p w14:paraId="6D5906F7" w14:textId="30FC7677" w:rsidR="00292B7D" w:rsidRPr="00B35C7D" w:rsidRDefault="001657E8" w:rsidP="004E6FD5">
      <w:pPr>
        <w:spacing w:after="0" w:line="240" w:lineRule="auto"/>
        <w:jc w:val="both"/>
        <w:rPr>
          <w:rFonts w:ascii="Times New Roman" w:eastAsia="Times New Roman" w:hAnsi="Times New Roman" w:cs="Times New Roman"/>
          <w:sz w:val="20"/>
          <w:szCs w:val="20"/>
        </w:rPr>
      </w:pPr>
      <w:r w:rsidRPr="00B35C7D">
        <w:rPr>
          <w:rFonts w:ascii="Times New Roman" w:eastAsia="Times New Roman" w:hAnsi="Times New Roman" w:cs="Times New Roman"/>
          <w:sz w:val="20"/>
          <w:szCs w:val="20"/>
        </w:rPr>
        <w:t>The</w:t>
      </w:r>
      <w:r w:rsidR="008F27D9" w:rsidRPr="00B35C7D">
        <w:rPr>
          <w:rFonts w:ascii="Times New Roman" w:eastAsia="Times New Roman" w:hAnsi="Times New Roman" w:cs="Times New Roman"/>
          <w:sz w:val="20"/>
          <w:szCs w:val="20"/>
        </w:rPr>
        <w:t xml:space="preserve"> above considerations may help us to get closer to fulfill the MCL target of 164dB, but still is difficult to guarantee that such a MCL goal is going to be achieved.</w:t>
      </w:r>
      <w:r w:rsidR="007D59D2" w:rsidRPr="00B35C7D">
        <w:rPr>
          <w:rFonts w:ascii="Times New Roman" w:eastAsia="Times New Roman" w:hAnsi="Times New Roman" w:cs="Times New Roman"/>
          <w:sz w:val="20"/>
          <w:szCs w:val="20"/>
        </w:rPr>
        <w:t xml:space="preserve"> </w:t>
      </w:r>
    </w:p>
    <w:p w14:paraId="3A417CCB" w14:textId="77777777" w:rsidR="001657E8" w:rsidRPr="007E09B9" w:rsidRDefault="001657E8" w:rsidP="001657E8">
      <w:pPr>
        <w:spacing w:after="0" w:line="240" w:lineRule="auto"/>
        <w:rPr>
          <w:rFonts w:ascii="Times New Roman" w:eastAsia="Times New Roman" w:hAnsi="Times New Roman" w:cs="Times New Roman"/>
        </w:rPr>
      </w:pPr>
    </w:p>
    <w:p w14:paraId="176744D1" w14:textId="3C7DCA75" w:rsidR="004E6FD5" w:rsidRPr="00B35C7D" w:rsidRDefault="002A2D3D" w:rsidP="00CA44EE">
      <w:pPr>
        <w:jc w:val="both"/>
        <w:rPr>
          <w:rFonts w:ascii="Times New Roman" w:hAnsi="Times New Roman" w:cs="Times New Roman"/>
          <w:b/>
          <w:bCs/>
          <w:i/>
          <w:sz w:val="20"/>
          <w:szCs w:val="20"/>
        </w:rPr>
      </w:pPr>
      <w:bookmarkStart w:id="6" w:name="_Ref488751920"/>
      <w:bookmarkStart w:id="7" w:name="Observation_5"/>
      <w:r w:rsidRPr="00B35C7D">
        <w:rPr>
          <w:rFonts w:ascii="Times New Roman" w:hAnsi="Times New Roman" w:cs="Times New Roman"/>
          <w:b/>
          <w:bCs/>
          <w:i/>
          <w:sz w:val="20"/>
          <w:szCs w:val="20"/>
        </w:rPr>
        <w:t xml:space="preserve">Observation </w:t>
      </w:r>
      <w:r w:rsidR="002C0C56">
        <w:rPr>
          <w:rFonts w:ascii="Times New Roman" w:hAnsi="Times New Roman" w:cs="Times New Roman"/>
          <w:b/>
          <w:bCs/>
          <w:i/>
          <w:sz w:val="20"/>
          <w:szCs w:val="20"/>
        </w:rPr>
        <w:t>1</w:t>
      </w:r>
      <w:r w:rsidRPr="00B35C7D">
        <w:rPr>
          <w:rFonts w:ascii="Times New Roman" w:hAnsi="Times New Roman" w:cs="Times New Roman"/>
          <w:b/>
          <w:bCs/>
          <w:i/>
          <w:sz w:val="20"/>
          <w:szCs w:val="20"/>
        </w:rPr>
        <w:t xml:space="preserve">: </w:t>
      </w:r>
      <w:r w:rsidR="001657E8" w:rsidRPr="00B35C7D">
        <w:rPr>
          <w:rFonts w:ascii="Times New Roman" w:hAnsi="Times New Roman" w:cs="Times New Roman"/>
          <w:b/>
          <w:bCs/>
          <w:i/>
          <w:sz w:val="20"/>
          <w:szCs w:val="20"/>
        </w:rPr>
        <w:t>A MCL target of 164dB seems to be too aggressive to be me</w:t>
      </w:r>
      <w:r w:rsidR="0019700E" w:rsidRPr="00B35C7D">
        <w:rPr>
          <w:rFonts w:ascii="Times New Roman" w:hAnsi="Times New Roman" w:cs="Times New Roman"/>
          <w:b/>
          <w:bCs/>
          <w:i/>
          <w:sz w:val="20"/>
          <w:szCs w:val="20"/>
        </w:rPr>
        <w:t>t</w:t>
      </w:r>
      <w:r w:rsidR="001657E8" w:rsidRPr="00B35C7D">
        <w:rPr>
          <w:rFonts w:ascii="Times New Roman" w:hAnsi="Times New Roman" w:cs="Times New Roman"/>
          <w:b/>
          <w:bCs/>
          <w:i/>
          <w:sz w:val="20"/>
          <w:szCs w:val="20"/>
        </w:rPr>
        <w:t xml:space="preserve"> in a TDD operation, </w:t>
      </w:r>
      <w:r w:rsidR="007D59D2" w:rsidRPr="00B35C7D">
        <w:rPr>
          <w:rFonts w:ascii="Times New Roman" w:eastAsia="Times New Roman" w:hAnsi="Times New Roman" w:cs="Times New Roman"/>
          <w:b/>
          <w:i/>
          <w:sz w:val="20"/>
          <w:szCs w:val="20"/>
        </w:rPr>
        <w:t>and</w:t>
      </w:r>
      <w:r w:rsidR="001657E8" w:rsidRPr="00B35C7D">
        <w:rPr>
          <w:rFonts w:ascii="Times New Roman" w:eastAsia="Times New Roman" w:hAnsi="Times New Roman" w:cs="Times New Roman"/>
          <w:b/>
          <w:i/>
          <w:sz w:val="20"/>
          <w:szCs w:val="20"/>
        </w:rPr>
        <w:t xml:space="preserve"> we will </w:t>
      </w:r>
      <w:r w:rsidR="007D59D2" w:rsidRPr="00B35C7D">
        <w:rPr>
          <w:rFonts w:ascii="Times New Roman" w:eastAsia="Times New Roman" w:hAnsi="Times New Roman" w:cs="Times New Roman"/>
          <w:b/>
          <w:i/>
          <w:sz w:val="20"/>
          <w:szCs w:val="20"/>
        </w:rPr>
        <w:t>need</w:t>
      </w:r>
      <w:r w:rsidR="001657E8" w:rsidRPr="00B35C7D">
        <w:rPr>
          <w:rFonts w:ascii="Times New Roman" w:eastAsia="Times New Roman" w:hAnsi="Times New Roman" w:cs="Times New Roman"/>
          <w:b/>
          <w:i/>
          <w:sz w:val="20"/>
          <w:szCs w:val="20"/>
        </w:rPr>
        <w:t xml:space="preserve"> to find a way to compensate for lack of </w:t>
      </w:r>
      <w:r w:rsidR="0019700E" w:rsidRPr="00B35C7D">
        <w:rPr>
          <w:rFonts w:ascii="Times New Roman" w:eastAsia="Times New Roman" w:hAnsi="Times New Roman" w:cs="Times New Roman"/>
          <w:b/>
          <w:i/>
          <w:sz w:val="20"/>
          <w:szCs w:val="20"/>
        </w:rPr>
        <w:t xml:space="preserve">available resources in DL and UL through </w:t>
      </w:r>
      <w:r w:rsidR="001657E8" w:rsidRPr="00B35C7D">
        <w:rPr>
          <w:rFonts w:ascii="Times New Roman" w:eastAsia="Times New Roman" w:hAnsi="Times New Roman" w:cs="Times New Roman"/>
          <w:b/>
          <w:i/>
          <w:sz w:val="20"/>
          <w:szCs w:val="20"/>
        </w:rPr>
        <w:t xml:space="preserve">an excessive relaxation of the latency, a much more aggressive </w:t>
      </w:r>
      <w:r w:rsidR="007D59D2" w:rsidRPr="00B35C7D">
        <w:rPr>
          <w:rFonts w:ascii="Times New Roman" w:eastAsia="Times New Roman" w:hAnsi="Times New Roman" w:cs="Times New Roman"/>
          <w:b/>
          <w:i/>
          <w:sz w:val="20"/>
          <w:szCs w:val="20"/>
        </w:rPr>
        <w:t xml:space="preserve">channel estimator, </w:t>
      </w:r>
      <w:r w:rsidR="001657E8" w:rsidRPr="00B35C7D">
        <w:rPr>
          <w:rFonts w:ascii="Times New Roman" w:eastAsia="Times New Roman" w:hAnsi="Times New Roman" w:cs="Times New Roman"/>
          <w:b/>
          <w:i/>
          <w:sz w:val="20"/>
          <w:szCs w:val="20"/>
        </w:rPr>
        <w:t>the usage of DwPTS/UpPTS in the special subframes</w:t>
      </w:r>
      <w:r w:rsidR="007D59D2" w:rsidRPr="00B35C7D">
        <w:rPr>
          <w:rFonts w:ascii="Times New Roman" w:eastAsia="Times New Roman" w:hAnsi="Times New Roman" w:cs="Times New Roman"/>
          <w:b/>
          <w:i/>
          <w:sz w:val="20"/>
          <w:szCs w:val="20"/>
        </w:rPr>
        <w:t>,</w:t>
      </w:r>
      <w:r w:rsidR="001657E8" w:rsidRPr="00B35C7D">
        <w:rPr>
          <w:rFonts w:ascii="Times New Roman" w:eastAsia="Times New Roman" w:hAnsi="Times New Roman" w:cs="Times New Roman"/>
          <w:b/>
          <w:i/>
          <w:sz w:val="20"/>
          <w:szCs w:val="20"/>
        </w:rPr>
        <w:t xml:space="preserve"> among other things</w:t>
      </w:r>
      <w:r w:rsidR="00993FC5" w:rsidRPr="00B35C7D">
        <w:rPr>
          <w:rFonts w:ascii="Times New Roman" w:hAnsi="Times New Roman" w:cs="Times New Roman"/>
          <w:b/>
          <w:bCs/>
          <w:i/>
          <w:sz w:val="20"/>
          <w:szCs w:val="20"/>
        </w:rPr>
        <w:t>.</w:t>
      </w:r>
      <w:bookmarkEnd w:id="6"/>
      <w:bookmarkEnd w:id="7"/>
    </w:p>
    <w:p w14:paraId="78D1A8D4" w14:textId="4DBE105C" w:rsidR="00015A82" w:rsidRPr="007E09B9" w:rsidRDefault="00015A82" w:rsidP="000B5218">
      <w:pPr>
        <w:pStyle w:val="Heading2"/>
        <w:rPr>
          <w:rFonts w:ascii="Times New Roman" w:hAnsi="Times New Roman" w:cs="Times New Roman"/>
        </w:rPr>
      </w:pPr>
      <w:r w:rsidRPr="007E09B9">
        <w:rPr>
          <w:rFonts w:ascii="Times New Roman" w:hAnsi="Times New Roman" w:cs="Times New Roman"/>
        </w:rPr>
        <w:t>Scheduling Delay</w:t>
      </w:r>
      <w:r w:rsidR="00FD08A1" w:rsidRPr="007E09B9">
        <w:rPr>
          <w:rFonts w:ascii="Times New Roman" w:hAnsi="Times New Roman" w:cs="Times New Roman"/>
        </w:rPr>
        <w:t xml:space="preserve"> and </w:t>
      </w:r>
      <w:r w:rsidR="00C75892" w:rsidRPr="007E09B9">
        <w:rPr>
          <w:rFonts w:ascii="Times New Roman" w:hAnsi="Times New Roman" w:cs="Times New Roman"/>
        </w:rPr>
        <w:t>tim</w:t>
      </w:r>
      <w:r w:rsidR="0047744F">
        <w:rPr>
          <w:rFonts w:ascii="Times New Roman" w:hAnsi="Times New Roman" w:cs="Times New Roman"/>
        </w:rPr>
        <w:t>ing</w:t>
      </w:r>
      <w:r w:rsidR="00C75892" w:rsidRPr="007E09B9">
        <w:rPr>
          <w:rFonts w:ascii="Times New Roman" w:hAnsi="Times New Roman" w:cs="Times New Roman"/>
        </w:rPr>
        <w:t xml:space="preserve"> </w:t>
      </w:r>
      <w:r w:rsidR="0047744F">
        <w:rPr>
          <w:rFonts w:ascii="Times New Roman" w:hAnsi="Times New Roman" w:cs="Times New Roman"/>
        </w:rPr>
        <w:t>relationship</w:t>
      </w:r>
      <w:r w:rsidR="0047744F" w:rsidRPr="007E09B9">
        <w:rPr>
          <w:rFonts w:ascii="Times New Roman" w:hAnsi="Times New Roman" w:cs="Times New Roman"/>
        </w:rPr>
        <w:t xml:space="preserve"> </w:t>
      </w:r>
    </w:p>
    <w:p w14:paraId="59ABC6B3" w14:textId="529A2C36" w:rsidR="00015A82" w:rsidRPr="007E09B9" w:rsidRDefault="0047744F" w:rsidP="00015A82">
      <w:pPr>
        <w:pStyle w:val="Heading3"/>
        <w:rPr>
          <w:rFonts w:ascii="Times New Roman" w:hAnsi="Times New Roman" w:cs="Times New Roman"/>
        </w:rPr>
      </w:pPr>
      <w:r>
        <w:rPr>
          <w:rFonts w:ascii="Times New Roman" w:hAnsi="Times New Roman" w:cs="Times New Roman"/>
        </w:rPr>
        <w:t>UE with 1 HARQ process</w:t>
      </w:r>
    </w:p>
    <w:p w14:paraId="094536AE" w14:textId="0339F05F" w:rsidR="00015A82" w:rsidRDefault="00015A82" w:rsidP="00015A82">
      <w:pPr>
        <w:jc w:val="both"/>
        <w:rPr>
          <w:rFonts w:ascii="Times New Roman" w:hAnsi="Times New Roman" w:cs="Times New Roman"/>
          <w:sz w:val="20"/>
        </w:rPr>
      </w:pPr>
      <w:r w:rsidRPr="00B35C7D">
        <w:rPr>
          <w:rFonts w:ascii="Times New Roman" w:hAnsi="Times New Roman" w:cs="Times New Roman"/>
          <w:sz w:val="20"/>
        </w:rPr>
        <w:t>In</w:t>
      </w:r>
      <w:r w:rsidR="00BA6F94" w:rsidRPr="00B35C7D">
        <w:rPr>
          <w:rFonts w:ascii="Times New Roman" w:hAnsi="Times New Roman" w:cs="Times New Roman"/>
          <w:sz w:val="20"/>
        </w:rPr>
        <w:t xml:space="preserve"> FDD NB-IoT, for UL data transmissions a scheduling delay (i.e., a time gap) of at least 8ms </w:t>
      </w:r>
      <w:r w:rsidR="00B51DCB" w:rsidRPr="00B35C7D">
        <w:rPr>
          <w:rFonts w:ascii="Times New Roman" w:hAnsi="Times New Roman" w:cs="Times New Roman"/>
          <w:sz w:val="20"/>
        </w:rPr>
        <w:t xml:space="preserve">between </w:t>
      </w:r>
      <w:r w:rsidR="00BA6F94" w:rsidRPr="00B35C7D">
        <w:rPr>
          <w:rFonts w:ascii="Times New Roman" w:hAnsi="Times New Roman" w:cs="Times New Roman"/>
          <w:sz w:val="20"/>
        </w:rPr>
        <w:t>the last DCI subframe and the first scheduled NPUSCH subframe is required. The scheduling delay</w:t>
      </w:r>
      <w:r w:rsidR="00271666" w:rsidRPr="00B35C7D">
        <w:rPr>
          <w:rFonts w:ascii="Times New Roman" w:hAnsi="Times New Roman" w:cs="Times New Roman"/>
          <w:sz w:val="20"/>
        </w:rPr>
        <w:t>, which is indicate</w:t>
      </w:r>
      <w:r w:rsidR="0012758B" w:rsidRPr="00B35C7D">
        <w:rPr>
          <w:rFonts w:ascii="Times New Roman" w:hAnsi="Times New Roman" w:cs="Times New Roman"/>
          <w:sz w:val="20"/>
        </w:rPr>
        <w:t>d</w:t>
      </w:r>
      <w:r w:rsidR="00271666" w:rsidRPr="00B35C7D">
        <w:rPr>
          <w:rFonts w:ascii="Times New Roman" w:hAnsi="Times New Roman" w:cs="Times New Roman"/>
          <w:sz w:val="20"/>
        </w:rPr>
        <w:t xml:space="preserve"> via DCI</w:t>
      </w:r>
      <w:r w:rsidR="00BA6F94" w:rsidRPr="00B35C7D">
        <w:rPr>
          <w:rFonts w:ascii="Times New Roman" w:hAnsi="Times New Roman" w:cs="Times New Roman"/>
          <w:sz w:val="20"/>
        </w:rPr>
        <w:t xml:space="preserve"> allows the NB-IoT device decod</w:t>
      </w:r>
      <w:r w:rsidR="0012758B" w:rsidRPr="00B35C7D">
        <w:rPr>
          <w:rFonts w:ascii="Times New Roman" w:hAnsi="Times New Roman" w:cs="Times New Roman"/>
          <w:sz w:val="20"/>
        </w:rPr>
        <w:t>ing</w:t>
      </w:r>
      <w:r w:rsidR="00BA6F94" w:rsidRPr="00B35C7D">
        <w:rPr>
          <w:rFonts w:ascii="Times New Roman" w:hAnsi="Times New Roman" w:cs="Times New Roman"/>
          <w:sz w:val="20"/>
        </w:rPr>
        <w:t xml:space="preserve"> the DCI, switch</w:t>
      </w:r>
      <w:r w:rsidR="0012758B" w:rsidRPr="00B35C7D">
        <w:rPr>
          <w:rFonts w:ascii="Times New Roman" w:hAnsi="Times New Roman" w:cs="Times New Roman"/>
          <w:sz w:val="20"/>
        </w:rPr>
        <w:t>ing</w:t>
      </w:r>
      <w:r w:rsidR="00BA6F94" w:rsidRPr="00B35C7D">
        <w:rPr>
          <w:rFonts w:ascii="Times New Roman" w:hAnsi="Times New Roman" w:cs="Times New Roman"/>
          <w:sz w:val="20"/>
        </w:rPr>
        <w:t xml:space="preserve"> from reception mode to the transmission mode, and prepar</w:t>
      </w:r>
      <w:r w:rsidR="0012758B" w:rsidRPr="00B35C7D">
        <w:rPr>
          <w:rFonts w:ascii="Times New Roman" w:hAnsi="Times New Roman" w:cs="Times New Roman"/>
          <w:sz w:val="20"/>
        </w:rPr>
        <w:t>ing</w:t>
      </w:r>
      <w:r w:rsidR="00BA6F94" w:rsidRPr="00B35C7D">
        <w:rPr>
          <w:rFonts w:ascii="Times New Roman" w:hAnsi="Times New Roman" w:cs="Times New Roman"/>
          <w:sz w:val="20"/>
        </w:rPr>
        <w:t xml:space="preserve"> the</w:t>
      </w:r>
      <w:r w:rsidR="0012758B" w:rsidRPr="00B35C7D">
        <w:rPr>
          <w:rFonts w:ascii="Times New Roman" w:hAnsi="Times New Roman" w:cs="Times New Roman"/>
          <w:sz w:val="20"/>
        </w:rPr>
        <w:t xml:space="preserve"> upcoming </w:t>
      </w:r>
      <w:r w:rsidR="00BA6F94" w:rsidRPr="00B35C7D">
        <w:rPr>
          <w:rFonts w:ascii="Times New Roman" w:hAnsi="Times New Roman" w:cs="Times New Roman"/>
          <w:sz w:val="20"/>
        </w:rPr>
        <w:t>UL transmission.</w:t>
      </w:r>
      <w:r w:rsidR="00D60076" w:rsidRPr="00B35C7D">
        <w:rPr>
          <w:rFonts w:ascii="Times New Roman" w:hAnsi="Times New Roman" w:cs="Times New Roman"/>
          <w:sz w:val="20"/>
        </w:rPr>
        <w:t xml:space="preserve"> In addition, after the NPUSCH transmission has been completed, there is a gap of </w:t>
      </w:r>
      <w:r w:rsidR="003A21CE" w:rsidRPr="00B35C7D">
        <w:rPr>
          <w:rFonts w:ascii="Times New Roman" w:hAnsi="Times New Roman" w:cs="Times New Roman"/>
          <w:sz w:val="20"/>
        </w:rPr>
        <w:t xml:space="preserve">at least </w:t>
      </w:r>
      <w:r w:rsidR="00D60076" w:rsidRPr="00B35C7D">
        <w:rPr>
          <w:rFonts w:ascii="Times New Roman" w:hAnsi="Times New Roman" w:cs="Times New Roman"/>
          <w:sz w:val="20"/>
        </w:rPr>
        <w:t xml:space="preserve">3ms </w:t>
      </w:r>
      <w:r w:rsidR="003A21CE" w:rsidRPr="00B35C7D">
        <w:rPr>
          <w:rFonts w:ascii="Times New Roman" w:hAnsi="Times New Roman" w:cs="Times New Roman"/>
          <w:sz w:val="20"/>
        </w:rPr>
        <w:t xml:space="preserve">intended </w:t>
      </w:r>
      <w:r w:rsidR="00D60076" w:rsidRPr="00B35C7D">
        <w:rPr>
          <w:rFonts w:ascii="Times New Roman" w:hAnsi="Times New Roman" w:cs="Times New Roman"/>
          <w:sz w:val="20"/>
        </w:rPr>
        <w:t>to give enough time to the NB-IoT device to switch from transmission mode to reception mode, so it can be ready to monitor the next NPDCCH sear</w:t>
      </w:r>
      <w:r w:rsidR="00605A38" w:rsidRPr="00B35C7D">
        <w:rPr>
          <w:rFonts w:ascii="Times New Roman" w:hAnsi="Times New Roman" w:cs="Times New Roman"/>
          <w:sz w:val="20"/>
        </w:rPr>
        <w:t>ch</w:t>
      </w:r>
      <w:r w:rsidR="00D60076" w:rsidRPr="00B35C7D">
        <w:rPr>
          <w:rFonts w:ascii="Times New Roman" w:hAnsi="Times New Roman" w:cs="Times New Roman"/>
          <w:sz w:val="20"/>
        </w:rPr>
        <w:t xml:space="preserve"> space candidate.</w:t>
      </w:r>
    </w:p>
    <w:p w14:paraId="0D383EA6" w14:textId="77777777" w:rsidR="0047744F" w:rsidRPr="007E09B9" w:rsidRDefault="0047744F" w:rsidP="0047744F">
      <w:pPr>
        <w:jc w:val="both"/>
        <w:rPr>
          <w:rFonts w:ascii="Times New Roman" w:hAnsi="Times New Roman" w:cs="Times New Roman"/>
          <w:sz w:val="20"/>
          <w:szCs w:val="20"/>
          <w:lang w:val="en-GB"/>
        </w:rPr>
      </w:pPr>
      <w:r w:rsidRPr="007E09B9">
        <w:rPr>
          <w:rFonts w:ascii="Times New Roman" w:hAnsi="Times New Roman" w:cs="Times New Roman"/>
          <w:sz w:val="20"/>
          <w:szCs w:val="20"/>
          <w:lang w:val="en-GB"/>
        </w:rPr>
        <w:t>The time offset for NPDSCH in FDD NB-IoT, together with the timing for NPUSCH Format 2 can be divided in three parts:</w:t>
      </w:r>
    </w:p>
    <w:p w14:paraId="41C814AF" w14:textId="77777777" w:rsidR="0047744F" w:rsidRPr="007E09B9" w:rsidRDefault="0047744F" w:rsidP="0047744F">
      <w:pPr>
        <w:pStyle w:val="ListParagraph"/>
        <w:numPr>
          <w:ilvl w:val="0"/>
          <w:numId w:val="31"/>
        </w:numPr>
        <w:jc w:val="both"/>
        <w:rPr>
          <w:rFonts w:ascii="Times New Roman" w:hAnsi="Times New Roman" w:cs="Times New Roman"/>
          <w:sz w:val="20"/>
          <w:szCs w:val="20"/>
          <w:lang w:val="en-GB"/>
        </w:rPr>
      </w:pPr>
      <w:r w:rsidRPr="007E09B9">
        <w:rPr>
          <w:rFonts w:ascii="Times New Roman" w:hAnsi="Times New Roman" w:cs="Times New Roman"/>
          <w:sz w:val="20"/>
          <w:szCs w:val="20"/>
          <w:lang w:val="en-GB"/>
        </w:rPr>
        <w:t>The minimum time gap between the last DCI subframe and the first scheduled NPDSCH subframe is 4ms, which can be elongated according to the “Additional time offset for NPDSCH” field indicated via DCI.</w:t>
      </w:r>
    </w:p>
    <w:p w14:paraId="33CE6820" w14:textId="77777777" w:rsidR="0047744F" w:rsidRPr="007E09B9" w:rsidRDefault="0047744F" w:rsidP="0047744F">
      <w:pPr>
        <w:pStyle w:val="ListParagraph"/>
        <w:numPr>
          <w:ilvl w:val="0"/>
          <w:numId w:val="31"/>
        </w:numPr>
        <w:jc w:val="both"/>
        <w:rPr>
          <w:rFonts w:ascii="Times New Roman" w:hAnsi="Times New Roman" w:cs="Times New Roman"/>
          <w:sz w:val="20"/>
          <w:szCs w:val="20"/>
          <w:lang w:val="en-GB"/>
        </w:rPr>
      </w:pPr>
      <w:r w:rsidRPr="007E09B9">
        <w:rPr>
          <w:rFonts w:ascii="Times New Roman" w:hAnsi="Times New Roman" w:cs="Times New Roman"/>
          <w:sz w:val="20"/>
          <w:szCs w:val="20"/>
          <w:lang w:val="en-GB"/>
        </w:rPr>
        <w:t>The DL scheduling also handles scheduling of the NPUSCH Format 2, and in this case a gap of at least 12ms between the end of the NPDSCH and the start of NPUSCH Format 2 is required.</w:t>
      </w:r>
    </w:p>
    <w:p w14:paraId="107D5258" w14:textId="77AAF905" w:rsidR="0047744F" w:rsidRPr="007E09B9" w:rsidRDefault="0047744F" w:rsidP="0047744F">
      <w:pPr>
        <w:pStyle w:val="ListParagraph"/>
        <w:numPr>
          <w:ilvl w:val="0"/>
          <w:numId w:val="31"/>
        </w:numPr>
        <w:jc w:val="both"/>
        <w:rPr>
          <w:rFonts w:ascii="Times New Roman" w:hAnsi="Times New Roman" w:cs="Times New Roman"/>
          <w:sz w:val="20"/>
          <w:szCs w:val="20"/>
          <w:lang w:val="en-GB"/>
        </w:rPr>
      </w:pPr>
      <w:r w:rsidRPr="007E09B9">
        <w:rPr>
          <w:rFonts w:ascii="Times New Roman" w:hAnsi="Times New Roman" w:cs="Times New Roman"/>
          <w:sz w:val="20"/>
          <w:szCs w:val="20"/>
          <w:lang w:val="en-GB"/>
        </w:rPr>
        <w:t xml:space="preserve">Once NPUSCH Format 2 has been transmitted, at least 3ms have to pass before starting a new attempt for monitoring the next </w:t>
      </w:r>
      <w:r w:rsidRPr="00B35C7D">
        <w:rPr>
          <w:rFonts w:ascii="Times New Roman" w:hAnsi="Times New Roman" w:cs="Times New Roman"/>
          <w:sz w:val="20"/>
          <w:szCs w:val="20"/>
        </w:rPr>
        <w:t>NPDCCH search space candidate.</w:t>
      </w:r>
    </w:p>
    <w:p w14:paraId="60C70BD4" w14:textId="6B969A31" w:rsidR="0047744F" w:rsidRDefault="00730856" w:rsidP="00015A82">
      <w:pPr>
        <w:jc w:val="both"/>
        <w:rPr>
          <w:rFonts w:ascii="Times New Roman" w:hAnsi="Times New Roman" w:cs="Times New Roman"/>
          <w:sz w:val="20"/>
          <w:lang w:val="en-GB"/>
        </w:rPr>
      </w:pPr>
      <w:r>
        <w:rPr>
          <w:rFonts w:ascii="Times New Roman" w:hAnsi="Times New Roman" w:cs="Times New Roman"/>
          <w:sz w:val="20"/>
          <w:lang w:val="en-GB"/>
        </w:rPr>
        <w:t xml:space="preserve">For TDD NB-IoT, as it is expect the same UE complexity as </w:t>
      </w:r>
      <w:r w:rsidR="00705E4E">
        <w:rPr>
          <w:rFonts w:ascii="Times New Roman" w:hAnsi="Times New Roman" w:cs="Times New Roman"/>
          <w:sz w:val="20"/>
          <w:lang w:val="en-GB"/>
        </w:rPr>
        <w:t>FDD, we can assume the same processing time for each channel, and keep the timing relationship</w:t>
      </w:r>
      <w:r w:rsidR="00BB179D">
        <w:rPr>
          <w:rFonts w:ascii="Times New Roman" w:hAnsi="Times New Roman" w:cs="Times New Roman"/>
          <w:sz w:val="20"/>
          <w:lang w:val="en-GB"/>
        </w:rPr>
        <w:t xml:space="preserve">s the same as FDD NB-IoT. </w:t>
      </w:r>
    </w:p>
    <w:p w14:paraId="1FE3D5A4" w14:textId="0AF6D698" w:rsidR="00BB179D" w:rsidRPr="00C23686" w:rsidRDefault="00BB179D" w:rsidP="00BB179D">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w:t>
      </w:r>
      <w:r w:rsidR="00C23686" w:rsidRPr="00C23686">
        <w:rPr>
          <w:rFonts w:ascii="Times New Roman" w:hAnsi="Times New Roman" w:cs="Times New Roman"/>
          <w:b/>
          <w:i/>
          <w:sz w:val="20"/>
          <w:szCs w:val="20"/>
        </w:rPr>
        <w:t>2</w:t>
      </w:r>
      <w:r w:rsidRPr="00C23686">
        <w:rPr>
          <w:rFonts w:ascii="Times New Roman" w:hAnsi="Times New Roman" w:cs="Times New Roman"/>
          <w:b/>
          <w:i/>
          <w:sz w:val="20"/>
          <w:szCs w:val="20"/>
        </w:rPr>
        <w:t xml:space="preserve">: For UE configured with 1 HARQ process, keep the same timing relationships in TDD NB-IoT as </w:t>
      </w:r>
      <w:r w:rsidR="00BE43C6">
        <w:rPr>
          <w:rFonts w:ascii="Times New Roman" w:hAnsi="Times New Roman" w:cs="Times New Roman"/>
          <w:b/>
          <w:i/>
          <w:sz w:val="20"/>
          <w:szCs w:val="20"/>
        </w:rPr>
        <w:t xml:space="preserve">in </w:t>
      </w:r>
      <w:r w:rsidRPr="00C23686">
        <w:rPr>
          <w:rFonts w:ascii="Times New Roman" w:hAnsi="Times New Roman" w:cs="Times New Roman"/>
          <w:b/>
          <w:i/>
          <w:sz w:val="20"/>
          <w:szCs w:val="20"/>
        </w:rPr>
        <w:t xml:space="preserve">FDD NB-IoT. </w:t>
      </w:r>
    </w:p>
    <w:p w14:paraId="1D726F75" w14:textId="4AC0ABDB" w:rsidR="00E36FD6" w:rsidRDefault="00BB179D" w:rsidP="00BB179D">
      <w:pPr>
        <w:jc w:val="both"/>
        <w:rPr>
          <w:rFonts w:ascii="Times New Roman" w:hAnsi="Times New Roman" w:cs="Times New Roman"/>
          <w:sz w:val="20"/>
          <w:lang w:val="en-GB"/>
        </w:rPr>
      </w:pPr>
      <w:r>
        <w:rPr>
          <w:rFonts w:ascii="Times New Roman" w:hAnsi="Times New Roman" w:cs="Times New Roman"/>
          <w:sz w:val="20"/>
        </w:rPr>
        <w:t xml:space="preserve">Regarding the scheduling delays, </w:t>
      </w:r>
      <w:r>
        <w:rPr>
          <w:rFonts w:ascii="Times New Roman" w:hAnsi="Times New Roman" w:cs="Times New Roman"/>
          <w:sz w:val="20"/>
          <w:lang w:val="en-GB"/>
        </w:rPr>
        <w:t>f</w:t>
      </w:r>
      <w:r w:rsidR="0047744F">
        <w:rPr>
          <w:rFonts w:ascii="Times New Roman" w:hAnsi="Times New Roman" w:cs="Times New Roman"/>
          <w:sz w:val="20"/>
          <w:lang w:val="en-GB"/>
        </w:rPr>
        <w:t xml:space="preserve">or TDD NB-IoT, as the </w:t>
      </w:r>
      <w:r w:rsidR="00A564CE">
        <w:rPr>
          <w:rFonts w:ascii="Times New Roman" w:hAnsi="Times New Roman" w:cs="Times New Roman"/>
          <w:sz w:val="20"/>
          <w:lang w:val="en-GB"/>
        </w:rPr>
        <w:t xml:space="preserve">DL and UL are sharing the same frequency resource but divided in timing, it is expected the same number of repetitions takes longer time to transmit. </w:t>
      </w:r>
      <w:r w:rsidR="00730856">
        <w:rPr>
          <w:rFonts w:ascii="Times New Roman" w:hAnsi="Times New Roman" w:cs="Times New Roman"/>
          <w:sz w:val="20"/>
          <w:lang w:val="en-GB"/>
        </w:rPr>
        <w:t xml:space="preserve">Therefore, there are two alternatives for the </w:t>
      </w:r>
      <w:r>
        <w:rPr>
          <w:rFonts w:ascii="Times New Roman" w:hAnsi="Times New Roman" w:cs="Times New Roman"/>
          <w:sz w:val="20"/>
          <w:lang w:val="en-GB"/>
        </w:rPr>
        <w:t>scheduling delays</w:t>
      </w:r>
      <w:r w:rsidR="00E36FD6">
        <w:rPr>
          <w:rFonts w:ascii="Times New Roman" w:hAnsi="Times New Roman" w:cs="Times New Roman"/>
          <w:sz w:val="20"/>
          <w:lang w:val="en-GB"/>
        </w:rPr>
        <w:t>:</w:t>
      </w:r>
    </w:p>
    <w:p w14:paraId="292FC09E" w14:textId="6B2F5D49" w:rsidR="00E36FD6" w:rsidRDefault="003A63AB" w:rsidP="00BB179D">
      <w:pPr>
        <w:jc w:val="both"/>
        <w:rPr>
          <w:rFonts w:ascii="Times New Roman" w:hAnsi="Times New Roman" w:cs="Times New Roman"/>
          <w:sz w:val="20"/>
          <w:lang w:val="en-GB"/>
        </w:rPr>
      </w:pPr>
      <w:r>
        <w:rPr>
          <w:rFonts w:ascii="Times New Roman" w:hAnsi="Times New Roman" w:cs="Times New Roman"/>
          <w:sz w:val="20"/>
          <w:lang w:val="en-GB"/>
        </w:rPr>
        <w:t xml:space="preserve">1) </w:t>
      </w:r>
      <w:r w:rsidR="00E36FD6">
        <w:rPr>
          <w:rFonts w:ascii="Times New Roman" w:hAnsi="Times New Roman" w:cs="Times New Roman"/>
          <w:sz w:val="20"/>
          <w:lang w:val="en-GB"/>
        </w:rPr>
        <w:t>D</w:t>
      </w:r>
      <w:r w:rsidR="00C038F2">
        <w:rPr>
          <w:rFonts w:ascii="Times New Roman" w:hAnsi="Times New Roman" w:cs="Times New Roman"/>
          <w:sz w:val="20"/>
          <w:lang w:val="en-GB"/>
        </w:rPr>
        <w:t xml:space="preserve">efine new scheduling delays with respect to </w:t>
      </w:r>
      <w:r w:rsidR="00EA7B33">
        <w:rPr>
          <w:rFonts w:ascii="Times New Roman" w:hAnsi="Times New Roman" w:cs="Times New Roman"/>
          <w:sz w:val="20"/>
          <w:lang w:val="en-GB"/>
        </w:rPr>
        <w:t>the absolut</w:t>
      </w:r>
      <w:r w:rsidR="00E36FD6">
        <w:rPr>
          <w:rFonts w:ascii="Times New Roman" w:hAnsi="Times New Roman" w:cs="Times New Roman"/>
          <w:sz w:val="20"/>
          <w:lang w:val="en-GB"/>
        </w:rPr>
        <w:t>e</w:t>
      </w:r>
      <w:r w:rsidR="00EA7B33">
        <w:rPr>
          <w:rFonts w:ascii="Times New Roman" w:hAnsi="Times New Roman" w:cs="Times New Roman"/>
          <w:sz w:val="20"/>
          <w:lang w:val="en-GB"/>
        </w:rPr>
        <w:t xml:space="preserve"> subframes (regardless </w:t>
      </w:r>
      <w:r w:rsidR="00BE43C6">
        <w:rPr>
          <w:rFonts w:ascii="Times New Roman" w:hAnsi="Times New Roman" w:cs="Times New Roman"/>
          <w:sz w:val="20"/>
          <w:lang w:val="en-GB"/>
        </w:rPr>
        <w:t xml:space="preserve">of </w:t>
      </w:r>
      <w:r w:rsidR="00EA7B33">
        <w:rPr>
          <w:rFonts w:ascii="Times New Roman" w:hAnsi="Times New Roman" w:cs="Times New Roman"/>
          <w:sz w:val="20"/>
          <w:lang w:val="en-GB"/>
        </w:rPr>
        <w:t>whether the subframe is used for DL or UL)</w:t>
      </w:r>
      <w:r w:rsidR="00E36FD6">
        <w:rPr>
          <w:rFonts w:ascii="Times New Roman" w:hAnsi="Times New Roman" w:cs="Times New Roman"/>
          <w:sz w:val="20"/>
          <w:lang w:val="en-GB"/>
        </w:rPr>
        <w:t>.</w:t>
      </w:r>
    </w:p>
    <w:p w14:paraId="413C0967" w14:textId="41F47763" w:rsidR="00E36FD6" w:rsidRDefault="003A63AB" w:rsidP="00BB179D">
      <w:pPr>
        <w:jc w:val="both"/>
        <w:rPr>
          <w:rFonts w:ascii="Times New Roman" w:hAnsi="Times New Roman" w:cs="Times New Roman"/>
          <w:sz w:val="20"/>
          <w:lang w:val="en-GB"/>
        </w:rPr>
      </w:pPr>
      <w:r>
        <w:rPr>
          <w:rFonts w:ascii="Times New Roman" w:hAnsi="Times New Roman" w:cs="Times New Roman"/>
          <w:sz w:val="20"/>
          <w:lang w:val="en-GB"/>
        </w:rPr>
        <w:t>2)</w:t>
      </w:r>
      <w:r w:rsidR="00EA7B33">
        <w:rPr>
          <w:rFonts w:ascii="Times New Roman" w:hAnsi="Times New Roman" w:cs="Times New Roman"/>
          <w:sz w:val="20"/>
          <w:lang w:val="en-GB"/>
        </w:rPr>
        <w:t xml:space="preserve"> </w:t>
      </w:r>
      <w:r w:rsidR="00E36FD6">
        <w:rPr>
          <w:rFonts w:ascii="Times New Roman" w:hAnsi="Times New Roman" w:cs="Times New Roman"/>
          <w:sz w:val="20"/>
          <w:lang w:val="en-GB"/>
        </w:rPr>
        <w:t>R</w:t>
      </w:r>
      <w:r w:rsidR="00EA7B33">
        <w:rPr>
          <w:rFonts w:ascii="Times New Roman" w:hAnsi="Times New Roman" w:cs="Times New Roman"/>
          <w:sz w:val="20"/>
          <w:lang w:val="en-GB"/>
        </w:rPr>
        <w:t xml:space="preserve">euse the scheduling delays </w:t>
      </w:r>
      <w:r w:rsidR="00E36FD6">
        <w:rPr>
          <w:rFonts w:ascii="Times New Roman" w:hAnsi="Times New Roman" w:cs="Times New Roman"/>
          <w:sz w:val="20"/>
          <w:lang w:val="en-GB"/>
        </w:rPr>
        <w:t xml:space="preserve">as </w:t>
      </w:r>
      <w:r w:rsidR="00EA7B33">
        <w:rPr>
          <w:rFonts w:ascii="Times New Roman" w:hAnsi="Times New Roman" w:cs="Times New Roman"/>
          <w:sz w:val="20"/>
          <w:lang w:val="en-GB"/>
        </w:rPr>
        <w:t xml:space="preserve">in FDD and the scheduling delays are </w:t>
      </w:r>
      <w:r w:rsidR="00B556DB">
        <w:rPr>
          <w:rFonts w:ascii="Times New Roman" w:hAnsi="Times New Roman" w:cs="Times New Roman"/>
          <w:sz w:val="20"/>
          <w:lang w:val="en-GB"/>
        </w:rPr>
        <w:t>interpreted</w:t>
      </w:r>
      <w:r w:rsidR="00EA7B33">
        <w:rPr>
          <w:rFonts w:ascii="Times New Roman" w:hAnsi="Times New Roman" w:cs="Times New Roman"/>
          <w:sz w:val="20"/>
          <w:lang w:val="en-GB"/>
        </w:rPr>
        <w:t xml:space="preserve"> with respect to the valid DL or UL subframe</w:t>
      </w:r>
      <w:r w:rsidR="00B556DB">
        <w:rPr>
          <w:rFonts w:ascii="Times New Roman" w:hAnsi="Times New Roman" w:cs="Times New Roman"/>
          <w:sz w:val="20"/>
          <w:lang w:val="en-GB"/>
        </w:rPr>
        <w:t xml:space="preserve">s. </w:t>
      </w:r>
    </w:p>
    <w:p w14:paraId="1CE201ED" w14:textId="2609DD9E" w:rsidR="00BB179D" w:rsidRDefault="00116686" w:rsidP="00BB179D">
      <w:pPr>
        <w:jc w:val="both"/>
        <w:rPr>
          <w:rFonts w:ascii="Times New Roman" w:hAnsi="Times New Roman" w:cs="Times New Roman"/>
          <w:sz w:val="20"/>
          <w:lang w:val="en-GB"/>
        </w:rPr>
      </w:pPr>
      <w:r>
        <w:rPr>
          <w:rFonts w:ascii="Times New Roman" w:hAnsi="Times New Roman" w:cs="Times New Roman"/>
          <w:sz w:val="20"/>
          <w:lang w:val="en-GB"/>
        </w:rPr>
        <w:t>T</w:t>
      </w:r>
      <w:r w:rsidR="009D1F74">
        <w:rPr>
          <w:rFonts w:ascii="Times New Roman" w:hAnsi="Times New Roman" w:cs="Times New Roman"/>
          <w:sz w:val="20"/>
          <w:lang w:val="en-GB"/>
        </w:rPr>
        <w:t>here are several different TDD configur</w:t>
      </w:r>
      <w:r w:rsidR="00E36FD6">
        <w:rPr>
          <w:rFonts w:ascii="Times New Roman" w:hAnsi="Times New Roman" w:cs="Times New Roman"/>
          <w:sz w:val="20"/>
          <w:lang w:val="en-GB"/>
        </w:rPr>
        <w:t>ations</w:t>
      </w:r>
      <w:r w:rsidR="009D1F74">
        <w:rPr>
          <w:rFonts w:ascii="Times New Roman" w:hAnsi="Times New Roman" w:cs="Times New Roman"/>
          <w:sz w:val="20"/>
          <w:lang w:val="en-GB"/>
        </w:rPr>
        <w:t xml:space="preserve"> that have different number of DL and UL subframes per radio frame, </w:t>
      </w:r>
      <w:r>
        <w:rPr>
          <w:rFonts w:ascii="Times New Roman" w:hAnsi="Times New Roman" w:cs="Times New Roman"/>
          <w:sz w:val="20"/>
          <w:lang w:val="en-GB"/>
        </w:rPr>
        <w:t xml:space="preserve">and hence, </w:t>
      </w:r>
      <w:r w:rsidR="009D1F74">
        <w:rPr>
          <w:rFonts w:ascii="Times New Roman" w:hAnsi="Times New Roman" w:cs="Times New Roman"/>
          <w:sz w:val="20"/>
          <w:lang w:val="en-GB"/>
        </w:rPr>
        <w:t>alternative 2 is a better option</w:t>
      </w:r>
      <w:r>
        <w:rPr>
          <w:rFonts w:ascii="Times New Roman" w:hAnsi="Times New Roman" w:cs="Times New Roman"/>
          <w:sz w:val="20"/>
          <w:lang w:val="en-GB"/>
        </w:rPr>
        <w:t xml:space="preserve">, as it gives a simple and unified design. </w:t>
      </w:r>
    </w:p>
    <w:p w14:paraId="0563D5F1" w14:textId="69108E3E" w:rsidR="00116686" w:rsidRPr="00C23686" w:rsidRDefault="00116686" w:rsidP="00116686">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w:t>
      </w:r>
      <w:r w:rsidR="00C23686" w:rsidRPr="00C23686">
        <w:rPr>
          <w:rFonts w:ascii="Times New Roman" w:hAnsi="Times New Roman" w:cs="Times New Roman"/>
          <w:b/>
          <w:i/>
          <w:sz w:val="20"/>
          <w:szCs w:val="20"/>
        </w:rPr>
        <w:t>3</w:t>
      </w:r>
      <w:r w:rsidRPr="00C23686">
        <w:rPr>
          <w:rFonts w:ascii="Times New Roman" w:hAnsi="Times New Roman" w:cs="Times New Roman"/>
          <w:b/>
          <w:i/>
          <w:sz w:val="20"/>
          <w:szCs w:val="20"/>
        </w:rPr>
        <w:t xml:space="preserve">: For UE configured with 1 HARQ process, </w:t>
      </w:r>
      <w:r w:rsidR="00C80707" w:rsidRPr="00C23686">
        <w:rPr>
          <w:rFonts w:ascii="Times New Roman" w:hAnsi="Times New Roman" w:cs="Times New Roman"/>
          <w:b/>
          <w:i/>
          <w:sz w:val="20"/>
          <w:szCs w:val="20"/>
        </w:rPr>
        <w:t xml:space="preserve">use the </w:t>
      </w:r>
      <w:r w:rsidRPr="00C23686">
        <w:rPr>
          <w:rFonts w:ascii="Times New Roman" w:hAnsi="Times New Roman" w:cs="Times New Roman"/>
          <w:b/>
          <w:i/>
          <w:sz w:val="20"/>
          <w:szCs w:val="20"/>
        </w:rPr>
        <w:t xml:space="preserve">same scheduling </w:t>
      </w:r>
      <w:r w:rsidR="00C80707" w:rsidRPr="00C23686">
        <w:rPr>
          <w:rFonts w:ascii="Times New Roman" w:hAnsi="Times New Roman" w:cs="Times New Roman"/>
          <w:b/>
          <w:i/>
          <w:sz w:val="20"/>
          <w:szCs w:val="20"/>
        </w:rPr>
        <w:t xml:space="preserve">in TDD NB-IoT as </w:t>
      </w:r>
      <w:r w:rsidR="00BE43C6">
        <w:rPr>
          <w:rFonts w:ascii="Times New Roman" w:hAnsi="Times New Roman" w:cs="Times New Roman"/>
          <w:b/>
          <w:i/>
          <w:sz w:val="20"/>
          <w:szCs w:val="20"/>
        </w:rPr>
        <w:t xml:space="preserve">in </w:t>
      </w:r>
      <w:r w:rsidR="00C80707" w:rsidRPr="00C23686">
        <w:rPr>
          <w:rFonts w:ascii="Times New Roman" w:hAnsi="Times New Roman" w:cs="Times New Roman"/>
          <w:b/>
          <w:i/>
          <w:sz w:val="20"/>
          <w:szCs w:val="20"/>
        </w:rPr>
        <w:t xml:space="preserve">FDD NB-IoT, and the delays are interpreted with respect to the corresponding valid DL or UL subframes. </w:t>
      </w:r>
    </w:p>
    <w:p w14:paraId="31D98092" w14:textId="67C0BBDA" w:rsidR="00B556DB" w:rsidRPr="00B1117D" w:rsidRDefault="00B556DB" w:rsidP="00775FAF">
      <w:pPr>
        <w:jc w:val="both"/>
        <w:rPr>
          <w:rFonts w:ascii="Times New Roman" w:hAnsi="Times New Roman" w:cs="Times New Roman"/>
          <w:sz w:val="20"/>
        </w:rPr>
      </w:pPr>
    </w:p>
    <w:p w14:paraId="045B5F76" w14:textId="268F9564" w:rsidR="008B131B" w:rsidRPr="00775FAF" w:rsidRDefault="00775FAF">
      <w:pPr>
        <w:pStyle w:val="Heading3"/>
        <w:rPr>
          <w:rFonts w:ascii="Times New Roman" w:hAnsi="Times New Roman" w:cs="Times New Roman"/>
        </w:rPr>
      </w:pPr>
      <w:r w:rsidRPr="00775FAF">
        <w:rPr>
          <w:rFonts w:ascii="Times New Roman" w:hAnsi="Times New Roman" w:cs="Times New Roman"/>
        </w:rPr>
        <w:t xml:space="preserve"> </w:t>
      </w:r>
      <w:r>
        <w:rPr>
          <w:rFonts w:ascii="Times New Roman" w:hAnsi="Times New Roman" w:cs="Times New Roman"/>
        </w:rPr>
        <w:t>UE with 2 HARQ processes</w:t>
      </w:r>
    </w:p>
    <w:p w14:paraId="769F761C" w14:textId="37762207" w:rsidR="008B131B" w:rsidRPr="00B35C7D" w:rsidRDefault="008B131B" w:rsidP="009D32F3">
      <w:pPr>
        <w:jc w:val="both"/>
        <w:rPr>
          <w:rFonts w:ascii="Times New Roman" w:hAnsi="Times New Roman" w:cs="Times New Roman"/>
          <w:sz w:val="20"/>
          <w:szCs w:val="20"/>
          <w:lang w:val="en-GB"/>
        </w:rPr>
      </w:pPr>
      <w:r w:rsidRPr="00B35C7D">
        <w:rPr>
          <w:rFonts w:ascii="Times New Roman" w:hAnsi="Times New Roman" w:cs="Times New Roman"/>
          <w:sz w:val="20"/>
          <w:szCs w:val="20"/>
          <w:lang w:val="en-GB"/>
        </w:rPr>
        <w:t>In RAN1 #92, the following was agreed “</w:t>
      </w:r>
      <w:r w:rsidRPr="00B35C7D">
        <w:rPr>
          <w:rFonts w:ascii="Times New Roman" w:eastAsia="Yu Mincho" w:hAnsi="Times New Roman" w:cs="Times New Roman"/>
          <w:i/>
          <w:sz w:val="20"/>
          <w:szCs w:val="20"/>
          <w:lang w:eastAsia="ja-JP"/>
        </w:rPr>
        <w:t>Supporting two HARQ processes is an optional UE capability in NB-IoT TDD system</w:t>
      </w:r>
      <w:r w:rsidRPr="00B35C7D">
        <w:rPr>
          <w:rFonts w:ascii="Times New Roman" w:hAnsi="Times New Roman" w:cs="Times New Roman"/>
          <w:sz w:val="20"/>
          <w:szCs w:val="20"/>
          <w:lang w:val="en-GB"/>
        </w:rPr>
        <w:t>”, and “</w:t>
      </w:r>
      <w:r w:rsidRPr="00B35C7D">
        <w:rPr>
          <w:rFonts w:ascii="Times New Roman" w:hAnsi="Times New Roman" w:cs="Times New Roman"/>
          <w:i/>
          <w:sz w:val="20"/>
          <w:szCs w:val="20"/>
          <w:lang w:val="en-GB"/>
        </w:rPr>
        <w:t>A 2-HARQ capable UE configured with 2 HARQ processes can be scheduled to transmit in UL subframes that occur during a DL reception, and receive in DL subframes that occur during a UL transmission</w:t>
      </w:r>
      <w:r w:rsidRPr="00B35C7D">
        <w:rPr>
          <w:rFonts w:ascii="Times New Roman" w:hAnsi="Times New Roman" w:cs="Times New Roman"/>
          <w:sz w:val="20"/>
          <w:szCs w:val="20"/>
          <w:lang w:val="en-GB"/>
        </w:rPr>
        <w:t>”.</w:t>
      </w:r>
    </w:p>
    <w:p w14:paraId="1224D244" w14:textId="4C17543B" w:rsidR="00B30EEB" w:rsidRDefault="00CF75E2" w:rsidP="009D32F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Recall that </w:t>
      </w:r>
      <w:r w:rsidR="00E0471B">
        <w:rPr>
          <w:rFonts w:ascii="Times New Roman" w:hAnsi="Times New Roman" w:cs="Times New Roman"/>
          <w:sz w:val="20"/>
          <w:szCs w:val="20"/>
          <w:lang w:val="en-GB"/>
        </w:rPr>
        <w:t xml:space="preserve">it is preferred that the UL and DL transmission can be interlaced to improve the UE throughput. However, there are concerns of the UE complexity. </w:t>
      </w:r>
      <w:r w:rsidR="00597FAD">
        <w:rPr>
          <w:rFonts w:ascii="Times New Roman" w:hAnsi="Times New Roman" w:cs="Times New Roman"/>
          <w:sz w:val="20"/>
          <w:szCs w:val="20"/>
          <w:lang w:val="en-GB"/>
        </w:rPr>
        <w:t>For the processing time, we can use the Rel-14 UE that is capable of 2 HARQ processes as reference</w:t>
      </w:r>
      <w:r w:rsidR="00551D13">
        <w:rPr>
          <w:rFonts w:ascii="Times New Roman" w:hAnsi="Times New Roman" w:cs="Times New Roman"/>
          <w:sz w:val="20"/>
          <w:szCs w:val="20"/>
          <w:lang w:val="en-GB"/>
        </w:rPr>
        <w:t xml:space="preserve"> but with some further improvements to increase the system </w:t>
      </w:r>
      <w:r w:rsidR="00B30EEB">
        <w:rPr>
          <w:rFonts w:ascii="Times New Roman" w:hAnsi="Times New Roman" w:cs="Times New Roman"/>
          <w:sz w:val="20"/>
          <w:szCs w:val="20"/>
          <w:lang w:val="en-GB"/>
        </w:rPr>
        <w:t xml:space="preserve">capacity. In Rel-14 FDD NB-IoT, if 2 HARQ process is configured, </w:t>
      </w:r>
      <w:r w:rsidR="0068362E">
        <w:rPr>
          <w:rFonts w:ascii="Times New Roman" w:hAnsi="Times New Roman" w:cs="Times New Roman"/>
          <w:sz w:val="20"/>
          <w:szCs w:val="20"/>
          <w:lang w:val="en-GB"/>
        </w:rPr>
        <w:t>the UE should stop monitoring</w:t>
      </w:r>
      <w:r w:rsidR="00AB01D9">
        <w:rPr>
          <w:rFonts w:ascii="Times New Roman" w:hAnsi="Times New Roman" w:cs="Times New Roman"/>
          <w:sz w:val="20"/>
          <w:szCs w:val="20"/>
          <w:lang w:val="en-GB"/>
        </w:rPr>
        <w:t xml:space="preserve"> </w:t>
      </w:r>
      <w:r w:rsidR="0043134E">
        <w:rPr>
          <w:rFonts w:ascii="Times New Roman" w:hAnsi="Times New Roman" w:cs="Times New Roman"/>
          <w:sz w:val="20"/>
          <w:szCs w:val="20"/>
          <w:lang w:val="en-GB"/>
        </w:rPr>
        <w:t xml:space="preserve">NPDCCH candidates until 1 ms </w:t>
      </w:r>
      <w:r w:rsidR="00551D13">
        <w:rPr>
          <w:rFonts w:ascii="Times New Roman" w:hAnsi="Times New Roman" w:cs="Times New Roman"/>
          <w:sz w:val="20"/>
          <w:szCs w:val="20"/>
          <w:lang w:val="en-GB"/>
        </w:rPr>
        <w:t xml:space="preserve">before the corresponding scheduled transmission starts. </w:t>
      </w:r>
      <w:r w:rsidR="0043134E">
        <w:rPr>
          <w:rFonts w:ascii="Times New Roman" w:hAnsi="Times New Roman" w:cs="Times New Roman"/>
          <w:sz w:val="20"/>
          <w:szCs w:val="20"/>
          <w:lang w:val="en-GB"/>
        </w:rPr>
        <w:t xml:space="preserve"> </w:t>
      </w:r>
    </w:p>
    <w:p w14:paraId="38532C25" w14:textId="4FE97533" w:rsidR="00BF08BC" w:rsidRDefault="00B30EEB" w:rsidP="009D32F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there is an ongoing NPDSCH transmission from any HARQ process, it is reasonable to expect </w:t>
      </w:r>
      <w:r w:rsidR="009A4FB2">
        <w:rPr>
          <w:rFonts w:ascii="Times New Roman" w:hAnsi="Times New Roman" w:cs="Times New Roman"/>
          <w:sz w:val="20"/>
          <w:szCs w:val="20"/>
          <w:lang w:val="en-GB"/>
        </w:rPr>
        <w:t xml:space="preserve">that </w:t>
      </w:r>
      <w:r>
        <w:rPr>
          <w:rFonts w:ascii="Times New Roman" w:hAnsi="Times New Roman" w:cs="Times New Roman"/>
          <w:sz w:val="20"/>
          <w:szCs w:val="20"/>
          <w:lang w:val="en-GB"/>
        </w:rPr>
        <w:t xml:space="preserve">the UE </w:t>
      </w:r>
      <w:r w:rsidR="00B1117D">
        <w:rPr>
          <w:rFonts w:ascii="Times New Roman" w:hAnsi="Times New Roman" w:cs="Times New Roman"/>
          <w:sz w:val="20"/>
          <w:szCs w:val="20"/>
          <w:lang w:val="en-GB"/>
        </w:rPr>
        <w:t>wo</w:t>
      </w:r>
      <w:r w:rsidR="009A4FB2">
        <w:rPr>
          <w:rFonts w:ascii="Times New Roman" w:hAnsi="Times New Roman" w:cs="Times New Roman"/>
          <w:sz w:val="20"/>
          <w:szCs w:val="20"/>
          <w:lang w:val="en-GB"/>
        </w:rPr>
        <w:t>n’t</w:t>
      </w:r>
      <w:r>
        <w:rPr>
          <w:rFonts w:ascii="Times New Roman" w:hAnsi="Times New Roman" w:cs="Times New Roman"/>
          <w:sz w:val="20"/>
          <w:szCs w:val="20"/>
          <w:lang w:val="en-GB"/>
        </w:rPr>
        <w:t xml:space="preserve"> monitor NPDCCH candidate</w:t>
      </w:r>
      <w:r w:rsidR="003A06A2">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so the UE does not need to buffer </w:t>
      </w:r>
      <w:r w:rsidR="00241EE7">
        <w:rPr>
          <w:rFonts w:ascii="Times New Roman" w:hAnsi="Times New Roman" w:cs="Times New Roman"/>
          <w:sz w:val="20"/>
          <w:szCs w:val="20"/>
          <w:lang w:val="en-GB"/>
        </w:rPr>
        <w:t xml:space="preserve">and perform blind decoding of NPDCCH at the same time </w:t>
      </w:r>
      <w:r w:rsidR="003A06A2">
        <w:rPr>
          <w:rFonts w:ascii="Times New Roman" w:hAnsi="Times New Roman" w:cs="Times New Roman"/>
          <w:sz w:val="20"/>
          <w:szCs w:val="20"/>
          <w:lang w:val="en-GB"/>
        </w:rPr>
        <w:t>of decoding NPDSCH</w:t>
      </w:r>
      <w:r w:rsidR="00BF08BC">
        <w:rPr>
          <w:rFonts w:ascii="Times New Roman" w:hAnsi="Times New Roman" w:cs="Times New Roman"/>
          <w:sz w:val="20"/>
          <w:szCs w:val="20"/>
          <w:lang w:val="en-GB"/>
        </w:rPr>
        <w:t xml:space="preserve">. </w:t>
      </w:r>
    </w:p>
    <w:p w14:paraId="2B9DE205" w14:textId="74406FEF" w:rsidR="00BF08BC" w:rsidRPr="00C23686" w:rsidRDefault="00BF08BC" w:rsidP="00BF08BC">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w:t>
      </w:r>
      <w:r w:rsidR="00C23686" w:rsidRPr="00C23686">
        <w:rPr>
          <w:rFonts w:ascii="Times New Roman" w:hAnsi="Times New Roman" w:cs="Times New Roman"/>
          <w:b/>
          <w:i/>
          <w:sz w:val="20"/>
          <w:szCs w:val="20"/>
        </w:rPr>
        <w:t>4</w:t>
      </w:r>
      <w:r w:rsidRPr="00C23686">
        <w:rPr>
          <w:rFonts w:ascii="Times New Roman" w:hAnsi="Times New Roman" w:cs="Times New Roman"/>
          <w:b/>
          <w:i/>
          <w:sz w:val="20"/>
          <w:szCs w:val="20"/>
        </w:rPr>
        <w:t xml:space="preserve">: </w:t>
      </w:r>
      <w:r w:rsidR="00606E85" w:rsidRPr="00C23686">
        <w:rPr>
          <w:rFonts w:ascii="Times New Roman" w:hAnsi="Times New Roman" w:cs="Times New Roman"/>
          <w:b/>
          <w:i/>
          <w:sz w:val="20"/>
          <w:szCs w:val="20"/>
        </w:rPr>
        <w:t>For UE configured with 2 HARQ processes, t</w:t>
      </w:r>
      <w:r w:rsidRPr="00C23686">
        <w:rPr>
          <w:rFonts w:ascii="Times New Roman" w:hAnsi="Times New Roman" w:cs="Times New Roman"/>
          <w:b/>
          <w:i/>
          <w:sz w:val="20"/>
          <w:szCs w:val="20"/>
        </w:rPr>
        <w:t>he UE do</w:t>
      </w:r>
      <w:r w:rsidR="00B1117D" w:rsidRPr="00C23686">
        <w:rPr>
          <w:rFonts w:ascii="Times New Roman" w:hAnsi="Times New Roman" w:cs="Times New Roman"/>
          <w:b/>
          <w:i/>
          <w:sz w:val="20"/>
          <w:szCs w:val="20"/>
        </w:rPr>
        <w:t>e</w:t>
      </w:r>
      <w:r w:rsidRPr="00C23686">
        <w:rPr>
          <w:rFonts w:ascii="Times New Roman" w:hAnsi="Times New Roman" w:cs="Times New Roman"/>
          <w:b/>
          <w:i/>
          <w:sz w:val="20"/>
          <w:szCs w:val="20"/>
        </w:rPr>
        <w:t xml:space="preserve">s not monitor NPDCCH search space if it has an ongoing NPDSCH transmission from any HARQ process. </w:t>
      </w:r>
    </w:p>
    <w:p w14:paraId="35C40CA1" w14:textId="1E9D09EE" w:rsidR="00606E85" w:rsidRDefault="00BF08BC" w:rsidP="00BF08BC">
      <w:pPr>
        <w:jc w:val="both"/>
        <w:rPr>
          <w:rFonts w:ascii="Times New Roman" w:hAnsi="Times New Roman" w:cs="Times New Roman"/>
          <w:sz w:val="20"/>
          <w:szCs w:val="20"/>
          <w:lang w:val="en-GB"/>
        </w:rPr>
      </w:pPr>
      <w:r w:rsidRPr="00B1117D">
        <w:rPr>
          <w:rFonts w:ascii="Times New Roman" w:hAnsi="Times New Roman" w:cs="Times New Roman"/>
          <w:sz w:val="20"/>
          <w:szCs w:val="20"/>
          <w:lang w:val="en-GB"/>
        </w:rPr>
        <w:t>How</w:t>
      </w:r>
      <w:r>
        <w:rPr>
          <w:rFonts w:ascii="Times New Roman" w:hAnsi="Times New Roman" w:cs="Times New Roman"/>
          <w:sz w:val="20"/>
          <w:szCs w:val="20"/>
          <w:lang w:val="en-GB"/>
        </w:rPr>
        <w:t>ever, if there is an ongoing NPUSCH transmission</w:t>
      </w:r>
      <w:r w:rsidR="003321AD">
        <w:rPr>
          <w:rFonts w:ascii="Times New Roman" w:hAnsi="Times New Roman" w:cs="Times New Roman"/>
          <w:sz w:val="20"/>
          <w:szCs w:val="20"/>
          <w:lang w:val="en-GB"/>
        </w:rPr>
        <w:t xml:space="preserve"> and there is no NPDSCH transmission, the UE can still monitor the DL in the DL subframes. In this case, i</w:t>
      </w:r>
      <w:r w:rsidR="0041521D">
        <w:rPr>
          <w:rFonts w:ascii="Times New Roman" w:hAnsi="Times New Roman" w:cs="Times New Roman"/>
          <w:sz w:val="20"/>
          <w:szCs w:val="20"/>
          <w:lang w:val="en-GB"/>
        </w:rPr>
        <w:t>f the UE can monitor the DCI in the DL subframes, it can help to improve the system scheduling flexibility and capacity,</w:t>
      </w:r>
      <w:r w:rsidR="00D411D9">
        <w:rPr>
          <w:rFonts w:ascii="Times New Roman" w:hAnsi="Times New Roman" w:cs="Times New Roman"/>
          <w:sz w:val="20"/>
          <w:szCs w:val="20"/>
          <w:lang w:val="en-GB"/>
        </w:rPr>
        <w:t xml:space="preserve"> since the DL and UL transmissions are expected to happen independently. Also, </w:t>
      </w:r>
      <w:r w:rsidR="00606E85">
        <w:rPr>
          <w:rFonts w:ascii="Times New Roman" w:hAnsi="Times New Roman" w:cs="Times New Roman"/>
          <w:sz w:val="20"/>
          <w:szCs w:val="20"/>
          <w:lang w:val="en-GB"/>
        </w:rPr>
        <w:t>this gives a chance for the eNB to signal to the UE for early termination of the ongoing NPSUCH transmission</w:t>
      </w:r>
      <w:r w:rsidR="00D411D9">
        <w:rPr>
          <w:rFonts w:ascii="Times New Roman" w:hAnsi="Times New Roman" w:cs="Times New Roman"/>
          <w:sz w:val="20"/>
          <w:szCs w:val="20"/>
          <w:lang w:val="en-GB"/>
        </w:rPr>
        <w:t xml:space="preserve"> </w:t>
      </w:r>
      <w:r w:rsidR="00606E85">
        <w:rPr>
          <w:rFonts w:ascii="Times New Roman" w:hAnsi="Times New Roman" w:cs="Times New Roman"/>
          <w:sz w:val="20"/>
          <w:szCs w:val="20"/>
          <w:lang w:val="en-GB"/>
        </w:rPr>
        <w:t>if the eNB has already decode it correctly. In this way, not only the UE can save power, but also we can free up the UL resource for other UEs</w:t>
      </w:r>
      <w:r w:rsidR="00B1117D">
        <w:rPr>
          <w:rFonts w:ascii="Times New Roman" w:hAnsi="Times New Roman" w:cs="Times New Roman"/>
          <w:sz w:val="20"/>
          <w:szCs w:val="20"/>
          <w:lang w:val="en-GB"/>
        </w:rPr>
        <w:t>, which is especially important for a TDD system</w:t>
      </w:r>
      <w:r w:rsidR="00606E85">
        <w:rPr>
          <w:rFonts w:ascii="Times New Roman" w:hAnsi="Times New Roman" w:cs="Times New Roman"/>
          <w:sz w:val="20"/>
          <w:szCs w:val="20"/>
          <w:lang w:val="en-GB"/>
        </w:rPr>
        <w:t xml:space="preserve">. </w:t>
      </w:r>
    </w:p>
    <w:p w14:paraId="679DF09F" w14:textId="68603E6C" w:rsidR="00606E85" w:rsidRPr="00C23686" w:rsidRDefault="00606E85" w:rsidP="00606E85">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w:t>
      </w:r>
      <w:r w:rsidR="00C23686" w:rsidRPr="00C23686">
        <w:rPr>
          <w:rFonts w:ascii="Times New Roman" w:hAnsi="Times New Roman" w:cs="Times New Roman"/>
          <w:b/>
          <w:i/>
          <w:sz w:val="20"/>
          <w:szCs w:val="20"/>
        </w:rPr>
        <w:t>5</w:t>
      </w:r>
      <w:r w:rsidRPr="00C23686">
        <w:rPr>
          <w:rFonts w:ascii="Times New Roman" w:hAnsi="Times New Roman" w:cs="Times New Roman"/>
          <w:b/>
          <w:i/>
          <w:sz w:val="20"/>
          <w:szCs w:val="20"/>
        </w:rPr>
        <w:t xml:space="preserve">: For UE configured with 2 HARQ processes, </w:t>
      </w:r>
      <w:r w:rsidR="00004B49" w:rsidRPr="00C23686">
        <w:rPr>
          <w:rFonts w:ascii="Times New Roman" w:hAnsi="Times New Roman" w:cs="Times New Roman"/>
          <w:b/>
          <w:i/>
          <w:sz w:val="20"/>
          <w:szCs w:val="20"/>
        </w:rPr>
        <w:t>if there is an ongoing NPUSCH transmission but there is no NPDSCH transmission, the UE should monitor the DL subframes for DCI</w:t>
      </w:r>
      <w:r w:rsidR="000B74D9" w:rsidRPr="00C23686">
        <w:rPr>
          <w:rFonts w:ascii="Times New Roman" w:hAnsi="Times New Roman" w:cs="Times New Roman"/>
          <w:b/>
          <w:i/>
          <w:sz w:val="20"/>
          <w:szCs w:val="20"/>
        </w:rPr>
        <w:t xml:space="preserve">. </w:t>
      </w:r>
    </w:p>
    <w:p w14:paraId="0EB62EFC" w14:textId="3F0453A8" w:rsidR="000B5218" w:rsidRPr="00C23686" w:rsidRDefault="000B74D9" w:rsidP="00B1117D">
      <w:pPr>
        <w:jc w:val="both"/>
        <w:rPr>
          <w:rFonts w:ascii="Times New Roman" w:hAnsi="Times New Roman" w:cs="Times New Roman"/>
          <w:b/>
          <w:i/>
          <w:sz w:val="20"/>
          <w:szCs w:val="20"/>
          <w:lang w:val="en-GB"/>
        </w:rPr>
      </w:pPr>
      <w:r w:rsidRPr="00C23686">
        <w:rPr>
          <w:rFonts w:ascii="Times New Roman" w:hAnsi="Times New Roman" w:cs="Times New Roman"/>
          <w:b/>
          <w:i/>
          <w:sz w:val="20"/>
          <w:szCs w:val="20"/>
        </w:rPr>
        <w:t xml:space="preserve">Proposal </w:t>
      </w:r>
      <w:r w:rsidR="00C23686" w:rsidRPr="00C23686">
        <w:rPr>
          <w:rFonts w:ascii="Times New Roman" w:hAnsi="Times New Roman" w:cs="Times New Roman"/>
          <w:b/>
          <w:i/>
          <w:sz w:val="20"/>
          <w:szCs w:val="20"/>
        </w:rPr>
        <w:t>6</w:t>
      </w:r>
      <w:r w:rsidRPr="00C23686">
        <w:rPr>
          <w:rFonts w:ascii="Times New Roman" w:hAnsi="Times New Roman" w:cs="Times New Roman"/>
          <w:b/>
          <w:i/>
          <w:sz w:val="20"/>
          <w:szCs w:val="20"/>
        </w:rPr>
        <w:t xml:space="preserve">: For UE configured with 2 HARQ processes, early termination of UL NPUSCH transmission should be supported to both save the UE power and increase the system capacity. </w:t>
      </w:r>
    </w:p>
    <w:p w14:paraId="2C77ED32" w14:textId="257C2C3F" w:rsidR="00BA0384" w:rsidRPr="007E09B9" w:rsidRDefault="00E50261" w:rsidP="00BA0384">
      <w:pPr>
        <w:pStyle w:val="Heading2"/>
        <w:rPr>
          <w:rFonts w:ascii="Times New Roman" w:hAnsi="Times New Roman" w:cs="Times New Roman"/>
        </w:rPr>
      </w:pPr>
      <w:r w:rsidRPr="007E09B9">
        <w:rPr>
          <w:rFonts w:ascii="Times New Roman" w:hAnsi="Times New Roman" w:cs="Times New Roman"/>
        </w:rPr>
        <w:t>Multi</w:t>
      </w:r>
      <w:r w:rsidR="00BA0384" w:rsidRPr="007E09B9">
        <w:rPr>
          <w:rFonts w:ascii="Times New Roman" w:hAnsi="Times New Roman" w:cs="Times New Roman"/>
        </w:rPr>
        <w:t xml:space="preserve">-carrier </w:t>
      </w:r>
      <w:r w:rsidRPr="007E09B9">
        <w:rPr>
          <w:rFonts w:ascii="Times New Roman" w:hAnsi="Times New Roman" w:cs="Times New Roman"/>
        </w:rPr>
        <w:t>support</w:t>
      </w:r>
    </w:p>
    <w:p w14:paraId="0FD366AB" w14:textId="77777777" w:rsidR="00331742" w:rsidRPr="00B35C7D" w:rsidRDefault="00E50261" w:rsidP="007B0268">
      <w:pPr>
        <w:jc w:val="both"/>
        <w:rPr>
          <w:rFonts w:ascii="Times New Roman" w:hAnsi="Times New Roman" w:cs="Times New Roman"/>
          <w:sz w:val="20"/>
        </w:rPr>
      </w:pPr>
      <w:r w:rsidRPr="00B35C7D">
        <w:rPr>
          <w:rFonts w:ascii="Times New Roman" w:hAnsi="Times New Roman" w:cs="Times New Roman"/>
          <w:sz w:val="20"/>
        </w:rPr>
        <w:t xml:space="preserve">In the current NB-IoT FDD design, </w:t>
      </w:r>
      <w:r w:rsidR="00331742" w:rsidRPr="00B35C7D">
        <w:rPr>
          <w:rFonts w:ascii="Times New Roman" w:hAnsi="Times New Roman" w:cs="Times New Roman"/>
          <w:sz w:val="20"/>
        </w:rPr>
        <w:t xml:space="preserve">multiple carriers (anchor and non-anchor) are supported. However, </w:t>
      </w:r>
      <w:r w:rsidRPr="00B35C7D">
        <w:rPr>
          <w:rFonts w:ascii="Times New Roman" w:hAnsi="Times New Roman" w:cs="Times New Roman"/>
          <w:sz w:val="20"/>
        </w:rPr>
        <w:t>cross-carrier scheduling is not supported.</w:t>
      </w:r>
      <w:r w:rsidR="00331742" w:rsidRPr="00B35C7D">
        <w:rPr>
          <w:rFonts w:ascii="Times New Roman" w:hAnsi="Times New Roman" w:cs="Times New Roman"/>
          <w:sz w:val="20"/>
        </w:rPr>
        <w:t xml:space="preserve"> Notice that in an FDD system, the number of UL and DL carriers can be independently configured (they do not have to be in pairs). Therefore, a simple support of multiple carriers can offer enough flexibility to cope with different load in the UL and DL, and it is not necessary to support cross-carrier scheduling. </w:t>
      </w:r>
    </w:p>
    <w:p w14:paraId="3C1656E2" w14:textId="6BAA3421" w:rsidR="00E50261" w:rsidRPr="00B35C7D" w:rsidRDefault="009D6D35" w:rsidP="007B0268">
      <w:pPr>
        <w:jc w:val="both"/>
        <w:rPr>
          <w:rFonts w:ascii="Times New Roman" w:hAnsi="Times New Roman" w:cs="Times New Roman"/>
          <w:sz w:val="20"/>
        </w:rPr>
      </w:pPr>
      <w:r w:rsidRPr="00B35C7D">
        <w:rPr>
          <w:rFonts w:ascii="Times New Roman" w:hAnsi="Times New Roman" w:cs="Times New Roman"/>
          <w:sz w:val="20"/>
        </w:rPr>
        <w:t>In</w:t>
      </w:r>
      <w:r w:rsidR="00331742" w:rsidRPr="00B35C7D">
        <w:rPr>
          <w:rFonts w:ascii="Times New Roman" w:hAnsi="Times New Roman" w:cs="Times New Roman"/>
          <w:sz w:val="20"/>
        </w:rPr>
        <w:t xml:space="preserve"> in a TDD system, where the UL and DL are separate</w:t>
      </w:r>
      <w:r w:rsidR="00101C00" w:rsidRPr="00B35C7D">
        <w:rPr>
          <w:rFonts w:ascii="Times New Roman" w:hAnsi="Times New Roman" w:cs="Times New Roman"/>
          <w:sz w:val="20"/>
        </w:rPr>
        <w:t>d</w:t>
      </w:r>
      <w:r w:rsidR="00331742" w:rsidRPr="00B35C7D">
        <w:rPr>
          <w:rFonts w:ascii="Times New Roman" w:hAnsi="Times New Roman" w:cs="Times New Roman"/>
          <w:sz w:val="20"/>
        </w:rPr>
        <w:t xml:space="preserve"> in time. Therefore, when multiple carriers (anchor and non-anchor) are configured, the same TDD configurations are required for both anchor and non-anchor carriers. Therefore, the number of carriers </w:t>
      </w:r>
      <w:r w:rsidR="00101C00" w:rsidRPr="00B35C7D">
        <w:rPr>
          <w:rFonts w:ascii="Times New Roman" w:hAnsi="Times New Roman" w:cs="Times New Roman"/>
          <w:sz w:val="20"/>
        </w:rPr>
        <w:t xml:space="preserve">can be </w:t>
      </w:r>
      <w:r w:rsidR="00331742" w:rsidRPr="00B35C7D">
        <w:rPr>
          <w:rFonts w:ascii="Times New Roman" w:hAnsi="Times New Roman" w:cs="Times New Roman"/>
          <w:sz w:val="20"/>
        </w:rPr>
        <w:t xml:space="preserve">dimensioned based </w:t>
      </w:r>
      <w:r w:rsidR="00E94243" w:rsidRPr="00B35C7D">
        <w:rPr>
          <w:rFonts w:ascii="Times New Roman" w:hAnsi="Times New Roman" w:cs="Times New Roman"/>
          <w:sz w:val="20"/>
        </w:rPr>
        <w:t xml:space="preserve">on </w:t>
      </w:r>
      <w:r w:rsidR="00331742" w:rsidRPr="00B35C7D">
        <w:rPr>
          <w:rFonts w:ascii="Times New Roman" w:hAnsi="Times New Roman" w:cs="Times New Roman"/>
          <w:sz w:val="20"/>
        </w:rPr>
        <w:t>the</w:t>
      </w:r>
      <w:r w:rsidR="00A4552E" w:rsidRPr="00B35C7D">
        <w:rPr>
          <w:rFonts w:ascii="Times New Roman" w:hAnsi="Times New Roman" w:cs="Times New Roman"/>
          <w:sz w:val="20"/>
        </w:rPr>
        <w:t xml:space="preserve"> direction</w:t>
      </w:r>
      <w:r w:rsidR="00E94243" w:rsidRPr="00B35C7D">
        <w:rPr>
          <w:rFonts w:ascii="Times New Roman" w:hAnsi="Times New Roman" w:cs="Times New Roman"/>
          <w:sz w:val="20"/>
        </w:rPr>
        <w:t xml:space="preserve"> (i.e., UL or DL)</w:t>
      </w:r>
      <w:r w:rsidR="00A4552E" w:rsidRPr="00B35C7D">
        <w:rPr>
          <w:rFonts w:ascii="Times New Roman" w:hAnsi="Times New Roman" w:cs="Times New Roman"/>
          <w:sz w:val="20"/>
        </w:rPr>
        <w:t xml:space="preserve"> </w:t>
      </w:r>
      <w:r w:rsidR="00BE20EA" w:rsidRPr="00B35C7D">
        <w:rPr>
          <w:rFonts w:ascii="Times New Roman" w:hAnsi="Times New Roman" w:cs="Times New Roman"/>
          <w:sz w:val="20"/>
        </w:rPr>
        <w:t>ha</w:t>
      </w:r>
      <w:r w:rsidR="00101C00" w:rsidRPr="00B35C7D">
        <w:rPr>
          <w:rFonts w:ascii="Times New Roman" w:hAnsi="Times New Roman" w:cs="Times New Roman"/>
          <w:sz w:val="20"/>
        </w:rPr>
        <w:t>ving</w:t>
      </w:r>
      <w:r w:rsidR="00BE20EA" w:rsidRPr="00B35C7D">
        <w:rPr>
          <w:rFonts w:ascii="Times New Roman" w:hAnsi="Times New Roman" w:cs="Times New Roman"/>
          <w:sz w:val="20"/>
        </w:rPr>
        <w:t xml:space="preserve"> </w:t>
      </w:r>
      <w:r w:rsidR="00A4552E" w:rsidRPr="00B35C7D">
        <w:rPr>
          <w:rFonts w:ascii="Times New Roman" w:hAnsi="Times New Roman" w:cs="Times New Roman"/>
          <w:sz w:val="20"/>
        </w:rPr>
        <w:t xml:space="preserve">most </w:t>
      </w:r>
      <w:r w:rsidR="00BE20EA" w:rsidRPr="00B35C7D">
        <w:rPr>
          <w:rFonts w:ascii="Times New Roman" w:hAnsi="Times New Roman" w:cs="Times New Roman"/>
          <w:sz w:val="20"/>
        </w:rPr>
        <w:t xml:space="preserve">of the </w:t>
      </w:r>
      <w:r w:rsidR="00A4552E" w:rsidRPr="00B35C7D">
        <w:rPr>
          <w:rFonts w:ascii="Times New Roman" w:hAnsi="Times New Roman" w:cs="Times New Roman"/>
          <w:sz w:val="20"/>
        </w:rPr>
        <w:t>traffic.</w:t>
      </w:r>
      <w:r w:rsidRPr="00B35C7D">
        <w:rPr>
          <w:rFonts w:ascii="Times New Roman" w:hAnsi="Times New Roman" w:cs="Times New Roman"/>
          <w:sz w:val="20"/>
        </w:rPr>
        <w:t xml:space="preserve"> Notice that the use of  cross-carrier scheduling was discussed in RAN1#92, </w:t>
      </w:r>
      <w:r w:rsidR="004069AF" w:rsidRPr="00B35C7D">
        <w:rPr>
          <w:rFonts w:ascii="Times New Roman" w:hAnsi="Times New Roman" w:cs="Times New Roman"/>
          <w:sz w:val="20"/>
        </w:rPr>
        <w:t xml:space="preserve">but there was no consensus of whether cross-carrier scheduling should be supported or not. </w:t>
      </w:r>
      <w:r w:rsidR="00EA6DED" w:rsidRPr="00B35C7D">
        <w:rPr>
          <w:rFonts w:ascii="Times New Roman" w:hAnsi="Times New Roman" w:cs="Times New Roman"/>
          <w:sz w:val="20"/>
        </w:rPr>
        <w:t xml:space="preserve">As NB-IoT FDD is used as a baseline, where UL and DL carriers can be configured independent, RAN1 still needs to decide whether in TDD, it should keep the same flexibility of configuring UL and DL on different carriers. </w:t>
      </w:r>
      <w:r w:rsidR="004A4B58" w:rsidRPr="00B35C7D">
        <w:rPr>
          <w:rFonts w:ascii="Times New Roman" w:hAnsi="Times New Roman" w:cs="Times New Roman"/>
          <w:sz w:val="20"/>
        </w:rPr>
        <w:t xml:space="preserve">Such flexibility can be useful, especially for the inland case. For example, if we only need to increase the UL compacity, we do not need to </w:t>
      </w:r>
      <w:r w:rsidR="00105C9D" w:rsidRPr="00B35C7D">
        <w:rPr>
          <w:rFonts w:ascii="Times New Roman" w:hAnsi="Times New Roman" w:cs="Times New Roman"/>
          <w:sz w:val="20"/>
        </w:rPr>
        <w:t xml:space="preserve">take the DL resource from LTE, and vice versa. </w:t>
      </w:r>
      <w:r w:rsidR="00D06137" w:rsidRPr="00B35C7D">
        <w:rPr>
          <w:rFonts w:ascii="Times New Roman" w:hAnsi="Times New Roman" w:cs="Times New Roman"/>
          <w:sz w:val="20"/>
        </w:rPr>
        <w:t xml:space="preserve">Therefore, it is proposed that </w:t>
      </w:r>
    </w:p>
    <w:p w14:paraId="7975E856" w14:textId="560CB476" w:rsidR="00105C9D" w:rsidRPr="00B35C7D" w:rsidRDefault="00105C9D" w:rsidP="00105C9D">
      <w:pPr>
        <w:rPr>
          <w:rFonts w:ascii="Times New Roman" w:hAnsi="Times New Roman" w:cs="Times New Roman"/>
          <w:b/>
          <w:i/>
          <w:sz w:val="20"/>
        </w:rPr>
      </w:pPr>
      <w:r w:rsidRPr="00B35C7D">
        <w:rPr>
          <w:rFonts w:ascii="Times New Roman" w:hAnsi="Times New Roman" w:cs="Times New Roman"/>
          <w:b/>
          <w:i/>
          <w:sz w:val="20"/>
        </w:rPr>
        <w:t xml:space="preserve">Proposal </w:t>
      </w:r>
      <w:r w:rsidR="00C23686">
        <w:rPr>
          <w:rFonts w:ascii="Times New Roman" w:hAnsi="Times New Roman" w:cs="Times New Roman"/>
          <w:b/>
          <w:i/>
          <w:sz w:val="20"/>
        </w:rPr>
        <w:t>7</w:t>
      </w:r>
      <w:r w:rsidRPr="00B35C7D">
        <w:rPr>
          <w:rFonts w:ascii="Times New Roman" w:hAnsi="Times New Roman" w:cs="Times New Roman"/>
          <w:b/>
          <w:i/>
          <w:sz w:val="20"/>
        </w:rPr>
        <w:t xml:space="preserve">: </w:t>
      </w:r>
      <w:r w:rsidR="00D06137" w:rsidRPr="00B35C7D">
        <w:rPr>
          <w:rFonts w:ascii="Times New Roman" w:hAnsi="Times New Roman" w:cs="Times New Roman"/>
          <w:b/>
          <w:i/>
          <w:sz w:val="20"/>
        </w:rPr>
        <w:t xml:space="preserve">Similar to FDD NB-IoT, </w:t>
      </w:r>
      <w:r w:rsidRPr="00B35C7D">
        <w:rPr>
          <w:rFonts w:ascii="Times New Roman" w:hAnsi="Times New Roman" w:cs="Times New Roman"/>
          <w:b/>
          <w:i/>
          <w:sz w:val="20"/>
        </w:rPr>
        <w:t xml:space="preserve">DL and UL </w:t>
      </w:r>
      <w:r w:rsidR="00D06137" w:rsidRPr="00B35C7D">
        <w:rPr>
          <w:rFonts w:ascii="Times New Roman" w:hAnsi="Times New Roman" w:cs="Times New Roman"/>
          <w:b/>
          <w:i/>
          <w:sz w:val="20"/>
        </w:rPr>
        <w:t>non-anchor carriers can be configured independently in TDD NB-IoT</w:t>
      </w:r>
      <w:r w:rsidRPr="00B35C7D">
        <w:rPr>
          <w:rFonts w:ascii="Times New Roman" w:hAnsi="Times New Roman" w:cs="Times New Roman"/>
          <w:b/>
          <w:i/>
          <w:sz w:val="20"/>
        </w:rPr>
        <w:t>.</w:t>
      </w:r>
    </w:p>
    <w:p w14:paraId="02564AE7" w14:textId="13538538" w:rsidR="00A747CD" w:rsidRPr="00B35C7D" w:rsidRDefault="00E41D9A" w:rsidP="007B0268">
      <w:pPr>
        <w:jc w:val="both"/>
        <w:rPr>
          <w:rFonts w:ascii="Times New Roman" w:hAnsi="Times New Roman" w:cs="Times New Roman"/>
          <w:sz w:val="20"/>
        </w:rPr>
      </w:pPr>
      <w:r w:rsidRPr="00B35C7D">
        <w:rPr>
          <w:rFonts w:ascii="Times New Roman" w:hAnsi="Times New Roman" w:cs="Times New Roman"/>
          <w:sz w:val="20"/>
        </w:rPr>
        <w:t>Recall that</w:t>
      </w:r>
      <w:r w:rsidR="00D06137" w:rsidRPr="00B35C7D">
        <w:rPr>
          <w:rFonts w:ascii="Times New Roman" w:hAnsi="Times New Roman" w:cs="Times New Roman"/>
          <w:sz w:val="20"/>
        </w:rPr>
        <w:t xml:space="preserve">  </w:t>
      </w:r>
      <w:r w:rsidR="00EB7239" w:rsidRPr="00B35C7D">
        <w:rPr>
          <w:rFonts w:ascii="Times New Roman" w:hAnsi="Times New Roman" w:cs="Times New Roman"/>
          <w:sz w:val="20"/>
        </w:rPr>
        <w:t>“</w:t>
      </w:r>
      <w:r w:rsidR="00EB7239" w:rsidRPr="007E09B9">
        <w:rPr>
          <w:rFonts w:ascii="Times New Roman" w:hAnsi="Times New Roman" w:cs="Times New Roman"/>
          <w:i/>
          <w:sz w:val="20"/>
        </w:rPr>
        <w:t>A 2-HARQ capable UE configured with 2 HARQ processes can be scheduled to transmit in UL subframes that occur during a DL reception, and receive in DL subframes that occur during a UL transmission</w:t>
      </w:r>
      <w:r w:rsidR="00EB7239" w:rsidRPr="00B35C7D">
        <w:rPr>
          <w:rFonts w:ascii="Times New Roman" w:hAnsi="Times New Roman" w:cs="Times New Roman"/>
          <w:sz w:val="20"/>
        </w:rPr>
        <w:t xml:space="preserve">” and cross-carrier scheduling is not supported </w:t>
      </w:r>
      <w:r w:rsidRPr="00B35C7D">
        <w:rPr>
          <w:rFonts w:ascii="Times New Roman" w:hAnsi="Times New Roman" w:cs="Times New Roman"/>
          <w:sz w:val="20"/>
        </w:rPr>
        <w:t xml:space="preserve">in TDD NB-IoT. </w:t>
      </w:r>
      <w:r w:rsidR="00A747CD" w:rsidRPr="00B35C7D">
        <w:rPr>
          <w:rFonts w:ascii="Times New Roman" w:hAnsi="Times New Roman" w:cs="Times New Roman"/>
          <w:sz w:val="20"/>
        </w:rPr>
        <w:t>Therefore, for UE</w:t>
      </w:r>
      <w:r w:rsidR="00AB17E3" w:rsidRPr="00B35C7D">
        <w:rPr>
          <w:rFonts w:ascii="Times New Roman" w:hAnsi="Times New Roman" w:cs="Times New Roman"/>
          <w:sz w:val="20"/>
        </w:rPr>
        <w:t xml:space="preserve">s configured with </w:t>
      </w:r>
      <w:r w:rsidR="00A747CD" w:rsidRPr="00B35C7D">
        <w:rPr>
          <w:rFonts w:ascii="Times New Roman" w:hAnsi="Times New Roman" w:cs="Times New Roman"/>
          <w:sz w:val="20"/>
        </w:rPr>
        <w:t xml:space="preserve">only 1 HARQ process, </w:t>
      </w:r>
      <w:r w:rsidR="006712F4" w:rsidRPr="00B35C7D">
        <w:rPr>
          <w:rFonts w:ascii="Times New Roman" w:hAnsi="Times New Roman" w:cs="Times New Roman"/>
          <w:sz w:val="20"/>
        </w:rPr>
        <w:t xml:space="preserve">the FDD scheduling principles can be directly applied, i.e., </w:t>
      </w:r>
      <w:r w:rsidR="00E17006" w:rsidRPr="00B35C7D">
        <w:rPr>
          <w:rFonts w:ascii="Times New Roman" w:hAnsi="Times New Roman" w:cs="Times New Roman"/>
          <w:sz w:val="20"/>
        </w:rPr>
        <w:t xml:space="preserve">doing one thing at a time. The UE would not start UL unless the DL is finished, and vice versa. </w:t>
      </w:r>
    </w:p>
    <w:p w14:paraId="6A42EF36" w14:textId="1C7655EE" w:rsidR="00AB17E3" w:rsidRPr="00B35C7D" w:rsidRDefault="00EE329B" w:rsidP="00AB17E3">
      <w:pPr>
        <w:jc w:val="both"/>
        <w:rPr>
          <w:rFonts w:ascii="Times New Roman" w:hAnsi="Times New Roman" w:cs="Times New Roman"/>
          <w:b/>
          <w:bCs/>
          <w:i/>
          <w:sz w:val="20"/>
          <w:szCs w:val="20"/>
        </w:rPr>
      </w:pPr>
      <w:r w:rsidRPr="00B35C7D">
        <w:rPr>
          <w:rFonts w:ascii="Times New Roman" w:hAnsi="Times New Roman" w:cs="Times New Roman"/>
          <w:b/>
          <w:i/>
          <w:sz w:val="20"/>
        </w:rPr>
        <w:lastRenderedPageBreak/>
        <w:t xml:space="preserve">Proposal </w:t>
      </w:r>
      <w:r w:rsidR="00C23686">
        <w:rPr>
          <w:rFonts w:ascii="Times New Roman" w:hAnsi="Times New Roman" w:cs="Times New Roman"/>
          <w:b/>
          <w:i/>
          <w:sz w:val="20"/>
        </w:rPr>
        <w:t>8</w:t>
      </w:r>
      <w:r w:rsidR="00AB17E3" w:rsidRPr="00B35C7D">
        <w:rPr>
          <w:rFonts w:ascii="Times New Roman" w:hAnsi="Times New Roman" w:cs="Times New Roman"/>
          <w:b/>
          <w:bCs/>
          <w:i/>
          <w:sz w:val="20"/>
          <w:szCs w:val="20"/>
        </w:rPr>
        <w:t xml:space="preserve">: For UEs configured with only 1 HARQ process, </w:t>
      </w:r>
      <w:r w:rsidRPr="00B35C7D">
        <w:rPr>
          <w:rFonts w:ascii="Times New Roman" w:hAnsi="Times New Roman" w:cs="Times New Roman"/>
          <w:b/>
          <w:bCs/>
          <w:i/>
          <w:sz w:val="20"/>
          <w:szCs w:val="20"/>
        </w:rPr>
        <w:t>the DL and UL (non-anchor) carriers can be configured independently, and the UE would not start UL unless the DL is finished, and vice versa</w:t>
      </w:r>
      <w:r w:rsidR="00AB17E3" w:rsidRPr="00B35C7D">
        <w:rPr>
          <w:rFonts w:ascii="Times New Roman" w:hAnsi="Times New Roman" w:cs="Times New Roman"/>
          <w:b/>
          <w:bCs/>
          <w:i/>
          <w:sz w:val="20"/>
          <w:szCs w:val="20"/>
        </w:rPr>
        <w:t>.</w:t>
      </w:r>
    </w:p>
    <w:p w14:paraId="487CBA49" w14:textId="1F811EE6" w:rsidR="00EC0BA3" w:rsidRPr="00B35C7D" w:rsidRDefault="00AB17E3" w:rsidP="007B0268">
      <w:pPr>
        <w:jc w:val="both"/>
        <w:rPr>
          <w:rFonts w:ascii="Times New Roman" w:hAnsi="Times New Roman" w:cs="Times New Roman"/>
          <w:sz w:val="20"/>
        </w:rPr>
      </w:pPr>
      <w:r w:rsidRPr="00B35C7D">
        <w:rPr>
          <w:rFonts w:ascii="Times New Roman" w:hAnsi="Times New Roman" w:cs="Times New Roman"/>
          <w:sz w:val="20"/>
        </w:rPr>
        <w:t>However</w:t>
      </w:r>
      <w:r w:rsidR="00E41D9A" w:rsidRPr="00B35C7D">
        <w:rPr>
          <w:rFonts w:ascii="Times New Roman" w:hAnsi="Times New Roman" w:cs="Times New Roman"/>
          <w:sz w:val="20"/>
        </w:rPr>
        <w:t xml:space="preserve">, </w:t>
      </w:r>
      <w:r w:rsidR="00EE329B" w:rsidRPr="00B35C7D">
        <w:rPr>
          <w:rFonts w:ascii="Times New Roman" w:hAnsi="Times New Roman" w:cs="Times New Roman"/>
          <w:sz w:val="20"/>
        </w:rPr>
        <w:t xml:space="preserve">when the UE is configured with 2 HARQ processes, it becomes more complicated when interlacing UL/DL scheduling is supported. The UE switching time between different carriers need to be considered, and this can be as long as 1 ms based on previous studies. </w:t>
      </w:r>
      <w:r w:rsidR="00DA0D75" w:rsidRPr="00B35C7D">
        <w:rPr>
          <w:rFonts w:ascii="Times New Roman" w:hAnsi="Times New Roman" w:cs="Times New Roman"/>
          <w:sz w:val="20"/>
        </w:rPr>
        <w:t>Such retuning gap is undesirable, as it would diminish</w:t>
      </w:r>
      <w:r w:rsidR="00EC0BA3" w:rsidRPr="00B35C7D">
        <w:rPr>
          <w:rFonts w:ascii="Times New Roman" w:hAnsi="Times New Roman" w:cs="Times New Roman"/>
          <w:sz w:val="20"/>
        </w:rPr>
        <w:t xml:space="preserve"> the gain from interlaced scheduling. Therefore, it is proposed that</w:t>
      </w:r>
    </w:p>
    <w:p w14:paraId="444C925C" w14:textId="3F06E89D" w:rsidR="00EC0BA3" w:rsidRPr="00B35C7D" w:rsidRDefault="00DA0D75" w:rsidP="00EC0BA3">
      <w:pPr>
        <w:jc w:val="both"/>
        <w:rPr>
          <w:rFonts w:ascii="Times New Roman" w:hAnsi="Times New Roman" w:cs="Times New Roman"/>
          <w:b/>
          <w:bCs/>
          <w:i/>
          <w:sz w:val="20"/>
          <w:szCs w:val="20"/>
        </w:rPr>
      </w:pPr>
      <w:r w:rsidRPr="00B35C7D">
        <w:rPr>
          <w:rFonts w:ascii="Times New Roman" w:hAnsi="Times New Roman" w:cs="Times New Roman"/>
          <w:sz w:val="20"/>
        </w:rPr>
        <w:t xml:space="preserve"> </w:t>
      </w:r>
      <w:r w:rsidR="00EC0BA3" w:rsidRPr="00B35C7D">
        <w:rPr>
          <w:rFonts w:ascii="Times New Roman" w:hAnsi="Times New Roman" w:cs="Times New Roman"/>
          <w:b/>
          <w:i/>
          <w:sz w:val="20"/>
        </w:rPr>
        <w:t xml:space="preserve">Proposal </w:t>
      </w:r>
      <w:r w:rsidR="00C23686">
        <w:rPr>
          <w:rFonts w:ascii="Times New Roman" w:hAnsi="Times New Roman" w:cs="Times New Roman"/>
          <w:b/>
          <w:i/>
          <w:sz w:val="20"/>
        </w:rPr>
        <w:t>9</w:t>
      </w:r>
      <w:r w:rsidR="00EC0BA3" w:rsidRPr="00B35C7D">
        <w:rPr>
          <w:rFonts w:ascii="Times New Roman" w:hAnsi="Times New Roman" w:cs="Times New Roman"/>
          <w:b/>
          <w:bCs/>
          <w:i/>
          <w:sz w:val="20"/>
          <w:szCs w:val="20"/>
        </w:rPr>
        <w:t>: For UEs configured with 2 HARQ process, UE can assume the DL and UL transmissions are on the same carrier.</w:t>
      </w:r>
    </w:p>
    <w:p w14:paraId="2B9F4C08" w14:textId="77777777" w:rsidR="00BA0384" w:rsidRPr="007E09B9" w:rsidRDefault="00BA0384" w:rsidP="00BA0384">
      <w:pPr>
        <w:pStyle w:val="Heading1"/>
        <w:rPr>
          <w:rFonts w:ascii="Times New Roman" w:hAnsi="Times New Roman" w:cs="Times New Roman"/>
        </w:rPr>
      </w:pPr>
      <w:r w:rsidRPr="007E09B9">
        <w:rPr>
          <w:rFonts w:ascii="Times New Roman" w:hAnsi="Times New Roman" w:cs="Times New Roman"/>
        </w:rPr>
        <w:t xml:space="preserve">Conclusions </w:t>
      </w:r>
    </w:p>
    <w:p w14:paraId="0A470810" w14:textId="013E0FF4" w:rsidR="00CA44EE" w:rsidRDefault="00BA0384" w:rsidP="00CA44EE">
      <w:pPr>
        <w:spacing w:after="0"/>
        <w:jc w:val="both"/>
        <w:rPr>
          <w:rFonts w:ascii="Times New Roman" w:hAnsi="Times New Roman" w:cs="Times New Roman"/>
          <w:bCs/>
          <w:sz w:val="20"/>
          <w:szCs w:val="20"/>
        </w:rPr>
      </w:pPr>
      <w:r w:rsidRPr="00B35C7D">
        <w:rPr>
          <w:rFonts w:ascii="Times New Roman" w:hAnsi="Times New Roman" w:cs="Times New Roman"/>
          <w:bCs/>
          <w:sz w:val="20"/>
          <w:szCs w:val="20"/>
        </w:rPr>
        <w:t xml:space="preserve">This contribution </w:t>
      </w:r>
      <w:r w:rsidRPr="00B35C7D">
        <w:rPr>
          <w:rFonts w:ascii="Times New Roman" w:hAnsi="Times New Roman" w:cs="Times New Roman"/>
          <w:sz w:val="20"/>
          <w:szCs w:val="20"/>
        </w:rPr>
        <w:t>provided an analysis</w:t>
      </w:r>
      <w:r w:rsidR="00C37754" w:rsidRPr="00B35C7D">
        <w:rPr>
          <w:rFonts w:ascii="Times New Roman" w:hAnsi="Times New Roman" w:cs="Times New Roman"/>
          <w:sz w:val="20"/>
          <w:szCs w:val="20"/>
        </w:rPr>
        <w:t xml:space="preserve"> on the better suitability that some LTE TDD configurations have as to be considered for supporting TDD into NB-IoT, </w:t>
      </w:r>
      <w:r w:rsidR="00A85C61" w:rsidRPr="00B35C7D">
        <w:rPr>
          <w:rFonts w:ascii="Times New Roman" w:hAnsi="Times New Roman" w:cs="Times New Roman"/>
          <w:sz w:val="20"/>
        </w:rPr>
        <w:t>MCL relaxations and capacity targets, the scheduling delay for TDD NB-IoT, and the support of cross-carrier scheduling are addressed</w:t>
      </w:r>
      <w:r w:rsidRPr="00B35C7D">
        <w:rPr>
          <w:rFonts w:ascii="Times New Roman" w:hAnsi="Times New Roman" w:cs="Times New Roman"/>
          <w:sz w:val="20"/>
          <w:szCs w:val="20"/>
        </w:rPr>
        <w:t xml:space="preserve">. </w:t>
      </w:r>
      <w:r w:rsidRPr="00B35C7D">
        <w:rPr>
          <w:rFonts w:ascii="Times New Roman" w:hAnsi="Times New Roman" w:cs="Times New Roman"/>
          <w:bCs/>
          <w:sz w:val="20"/>
          <w:szCs w:val="20"/>
        </w:rPr>
        <w:t>From the analysis performed the following</w:t>
      </w:r>
      <w:r w:rsidR="00C37754" w:rsidRPr="00B35C7D">
        <w:rPr>
          <w:rFonts w:ascii="Times New Roman" w:hAnsi="Times New Roman" w:cs="Times New Roman"/>
          <w:bCs/>
          <w:sz w:val="20"/>
          <w:szCs w:val="20"/>
        </w:rPr>
        <w:t xml:space="preserve"> observations and proposals have been enunciated</w:t>
      </w:r>
      <w:r w:rsidRPr="00B35C7D">
        <w:rPr>
          <w:rFonts w:ascii="Times New Roman" w:hAnsi="Times New Roman" w:cs="Times New Roman"/>
          <w:bCs/>
          <w:sz w:val="20"/>
          <w:szCs w:val="20"/>
        </w:rPr>
        <w:t>:</w:t>
      </w:r>
    </w:p>
    <w:p w14:paraId="44F6A4AF" w14:textId="0E2E0739" w:rsidR="002C0C56" w:rsidRDefault="002C0C56" w:rsidP="00CA44EE">
      <w:pPr>
        <w:spacing w:after="0"/>
        <w:jc w:val="both"/>
        <w:rPr>
          <w:rFonts w:ascii="Times New Roman" w:hAnsi="Times New Roman" w:cs="Times New Roman"/>
          <w:bCs/>
          <w:sz w:val="20"/>
          <w:szCs w:val="20"/>
        </w:rPr>
      </w:pPr>
    </w:p>
    <w:p w14:paraId="72C33863" w14:textId="77777777" w:rsidR="0035444D" w:rsidRPr="00B35C7D" w:rsidRDefault="0035444D" w:rsidP="0035444D">
      <w:pPr>
        <w:jc w:val="both"/>
        <w:rPr>
          <w:rFonts w:ascii="Times New Roman" w:hAnsi="Times New Roman" w:cs="Times New Roman"/>
          <w:b/>
          <w:bCs/>
          <w:i/>
          <w:sz w:val="20"/>
          <w:szCs w:val="20"/>
        </w:rPr>
      </w:pPr>
      <w:r w:rsidRPr="00B35C7D">
        <w:rPr>
          <w:rFonts w:ascii="Times New Roman" w:hAnsi="Times New Roman" w:cs="Times New Roman"/>
          <w:b/>
          <w:bCs/>
          <w:i/>
          <w:sz w:val="20"/>
          <w:szCs w:val="20"/>
        </w:rPr>
        <w:t xml:space="preserve">Observation </w:t>
      </w:r>
      <w:r>
        <w:rPr>
          <w:rFonts w:ascii="Times New Roman" w:hAnsi="Times New Roman" w:cs="Times New Roman"/>
          <w:b/>
          <w:bCs/>
          <w:i/>
          <w:sz w:val="20"/>
          <w:szCs w:val="20"/>
        </w:rPr>
        <w:t>1</w:t>
      </w:r>
      <w:r w:rsidRPr="00B35C7D">
        <w:rPr>
          <w:rFonts w:ascii="Times New Roman" w:hAnsi="Times New Roman" w:cs="Times New Roman"/>
          <w:b/>
          <w:bCs/>
          <w:i/>
          <w:sz w:val="20"/>
          <w:szCs w:val="20"/>
        </w:rPr>
        <w:t xml:space="preserve">: A MCL target of 164dB seems to be too aggressive to be met in a TDD operation, </w:t>
      </w:r>
      <w:r w:rsidRPr="00B35C7D">
        <w:rPr>
          <w:rFonts w:ascii="Times New Roman" w:eastAsia="Times New Roman" w:hAnsi="Times New Roman" w:cs="Times New Roman"/>
          <w:b/>
          <w:i/>
          <w:sz w:val="20"/>
          <w:szCs w:val="20"/>
        </w:rPr>
        <w:t>and we will need to find a way to compensate for lack of available resources in DL and UL through an excessive relaxation of the latency, a much more aggressive channel estimator, the usage of DwPTS/UpPTS in the special subframes, among other things</w:t>
      </w:r>
      <w:r w:rsidRPr="00B35C7D">
        <w:rPr>
          <w:rFonts w:ascii="Times New Roman" w:hAnsi="Times New Roman" w:cs="Times New Roman"/>
          <w:b/>
          <w:bCs/>
          <w:i/>
          <w:sz w:val="20"/>
          <w:szCs w:val="20"/>
        </w:rPr>
        <w:t>.</w:t>
      </w:r>
    </w:p>
    <w:p w14:paraId="7E5037A0" w14:textId="77777777" w:rsidR="0035444D" w:rsidRDefault="0035444D" w:rsidP="00CA44EE">
      <w:pPr>
        <w:spacing w:after="0"/>
        <w:jc w:val="both"/>
        <w:rPr>
          <w:rFonts w:ascii="Times New Roman" w:hAnsi="Times New Roman" w:cs="Times New Roman"/>
          <w:bCs/>
          <w:sz w:val="20"/>
          <w:szCs w:val="20"/>
        </w:rPr>
      </w:pPr>
    </w:p>
    <w:p w14:paraId="5A72B850" w14:textId="567B3574" w:rsidR="002C0C56" w:rsidRDefault="002C0C56" w:rsidP="002C0C56">
      <w:pPr>
        <w:rPr>
          <w:rFonts w:ascii="Times New Roman" w:hAnsi="Times New Roman" w:cs="Times New Roman"/>
          <w:b/>
          <w:i/>
          <w:sz w:val="20"/>
        </w:rPr>
      </w:pPr>
      <w:r w:rsidRPr="00B35C7D">
        <w:rPr>
          <w:rFonts w:ascii="Times New Roman" w:hAnsi="Times New Roman" w:cs="Times New Roman"/>
          <w:b/>
          <w:bCs/>
          <w:i/>
          <w:sz w:val="20"/>
        </w:rPr>
        <w:t>Proposal 1: In Rel-15 the LTE TDD configurations supported by TDD NB-IoT are TDD configuration #1, #2, #3, #4, and #5)</w:t>
      </w:r>
      <w:r w:rsidRPr="00B35C7D">
        <w:rPr>
          <w:rFonts w:ascii="Times New Roman" w:hAnsi="Times New Roman" w:cs="Times New Roman"/>
          <w:b/>
          <w:i/>
          <w:sz w:val="20"/>
        </w:rPr>
        <w:t xml:space="preserve">. </w:t>
      </w:r>
    </w:p>
    <w:p w14:paraId="53A065C6" w14:textId="078B5C02" w:rsidR="0035444D" w:rsidRDefault="0035444D" w:rsidP="0035444D">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2: For UE configured with 1 HARQ process, keep the same timing relationships in TDD NB-IoT as </w:t>
      </w:r>
      <w:r w:rsidR="00BE43C6">
        <w:rPr>
          <w:rFonts w:ascii="Times New Roman" w:hAnsi="Times New Roman" w:cs="Times New Roman"/>
          <w:b/>
          <w:i/>
          <w:sz w:val="20"/>
          <w:szCs w:val="20"/>
        </w:rPr>
        <w:t xml:space="preserve">in </w:t>
      </w:r>
      <w:r w:rsidRPr="00C23686">
        <w:rPr>
          <w:rFonts w:ascii="Times New Roman" w:hAnsi="Times New Roman" w:cs="Times New Roman"/>
          <w:b/>
          <w:i/>
          <w:sz w:val="20"/>
          <w:szCs w:val="20"/>
        </w:rPr>
        <w:t xml:space="preserve">FDD NB-IoT. </w:t>
      </w:r>
    </w:p>
    <w:p w14:paraId="785C23D0" w14:textId="70179A67" w:rsidR="0035444D" w:rsidRPr="00C23686" w:rsidRDefault="0035444D" w:rsidP="0035444D">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3: For UE configured with 1 HARQ process, use the same scheduling in TDD NB-IoT as </w:t>
      </w:r>
      <w:r w:rsidR="00BE43C6">
        <w:rPr>
          <w:rFonts w:ascii="Times New Roman" w:hAnsi="Times New Roman" w:cs="Times New Roman"/>
          <w:b/>
          <w:i/>
          <w:sz w:val="20"/>
          <w:szCs w:val="20"/>
        </w:rPr>
        <w:t xml:space="preserve">in </w:t>
      </w:r>
      <w:bookmarkStart w:id="8" w:name="_GoBack"/>
      <w:bookmarkEnd w:id="8"/>
      <w:r w:rsidRPr="00C23686">
        <w:rPr>
          <w:rFonts w:ascii="Times New Roman" w:hAnsi="Times New Roman" w:cs="Times New Roman"/>
          <w:b/>
          <w:i/>
          <w:sz w:val="20"/>
          <w:szCs w:val="20"/>
        </w:rPr>
        <w:t xml:space="preserve">FDD NB-IoT, and the delays are interpreted with respect to the corresponding valid DL or UL subframes. </w:t>
      </w:r>
    </w:p>
    <w:p w14:paraId="4CC9E77D" w14:textId="77777777" w:rsidR="0035444D" w:rsidRPr="00C23686" w:rsidRDefault="0035444D" w:rsidP="0035444D">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4: For UE configured with 2 HARQ processes, the UE does not monitor NPDCCH search space if it has an ongoing NPDSCH transmission from any HARQ process. </w:t>
      </w:r>
    </w:p>
    <w:p w14:paraId="38E0AEF6" w14:textId="77777777" w:rsidR="0035444D" w:rsidRPr="00C23686" w:rsidRDefault="0035444D" w:rsidP="0035444D">
      <w:pPr>
        <w:jc w:val="both"/>
        <w:rPr>
          <w:rFonts w:ascii="Times New Roman" w:hAnsi="Times New Roman" w:cs="Times New Roman"/>
          <w:b/>
          <w:i/>
          <w:sz w:val="20"/>
          <w:szCs w:val="20"/>
        </w:rPr>
      </w:pPr>
      <w:r w:rsidRPr="00C23686">
        <w:rPr>
          <w:rFonts w:ascii="Times New Roman" w:hAnsi="Times New Roman" w:cs="Times New Roman"/>
          <w:b/>
          <w:i/>
          <w:sz w:val="20"/>
          <w:szCs w:val="20"/>
        </w:rPr>
        <w:t xml:space="preserve">Proposal 5: For UE configured with 2 HARQ processes, if there is an ongoing NPUSCH transmission but there is no NPDSCH transmission, the UE should monitor the DL subframes for DCI. </w:t>
      </w:r>
    </w:p>
    <w:p w14:paraId="1EA4EDA8" w14:textId="77777777" w:rsidR="0035444D" w:rsidRPr="00C23686" w:rsidRDefault="0035444D" w:rsidP="0035444D">
      <w:pPr>
        <w:jc w:val="both"/>
        <w:rPr>
          <w:rFonts w:ascii="Times New Roman" w:hAnsi="Times New Roman" w:cs="Times New Roman"/>
          <w:b/>
          <w:i/>
          <w:sz w:val="20"/>
          <w:szCs w:val="20"/>
          <w:lang w:val="en-GB"/>
        </w:rPr>
      </w:pPr>
      <w:r w:rsidRPr="00C23686">
        <w:rPr>
          <w:rFonts w:ascii="Times New Roman" w:hAnsi="Times New Roman" w:cs="Times New Roman"/>
          <w:b/>
          <w:i/>
          <w:sz w:val="20"/>
          <w:szCs w:val="20"/>
        </w:rPr>
        <w:t xml:space="preserve">Proposal 6: For UE configured with 2 HARQ processes, early termination of UL NPUSCH transmission should be supported to both save the UE power and increase the system capacity. </w:t>
      </w:r>
    </w:p>
    <w:p w14:paraId="0A742786" w14:textId="77777777" w:rsidR="0035444D" w:rsidRPr="00B35C7D" w:rsidRDefault="0035444D" w:rsidP="0035444D">
      <w:pPr>
        <w:rPr>
          <w:rFonts w:ascii="Times New Roman" w:hAnsi="Times New Roman" w:cs="Times New Roman"/>
          <w:b/>
          <w:i/>
          <w:sz w:val="20"/>
        </w:rPr>
      </w:pPr>
      <w:r w:rsidRPr="00B35C7D">
        <w:rPr>
          <w:rFonts w:ascii="Times New Roman" w:hAnsi="Times New Roman" w:cs="Times New Roman"/>
          <w:b/>
          <w:i/>
          <w:sz w:val="20"/>
        </w:rPr>
        <w:t xml:space="preserve">Proposal </w:t>
      </w:r>
      <w:r>
        <w:rPr>
          <w:rFonts w:ascii="Times New Roman" w:hAnsi="Times New Roman" w:cs="Times New Roman"/>
          <w:b/>
          <w:i/>
          <w:sz w:val="20"/>
        </w:rPr>
        <w:t>7</w:t>
      </w:r>
      <w:r w:rsidRPr="00B35C7D">
        <w:rPr>
          <w:rFonts w:ascii="Times New Roman" w:hAnsi="Times New Roman" w:cs="Times New Roman"/>
          <w:b/>
          <w:i/>
          <w:sz w:val="20"/>
        </w:rPr>
        <w:t>: Similar to FDD NB-IoT, DL and UL non-anchor carriers can be configured independently in TDD NB-IoT.</w:t>
      </w:r>
    </w:p>
    <w:p w14:paraId="251CEB97" w14:textId="77777777" w:rsidR="0035444D" w:rsidRPr="00B35C7D" w:rsidRDefault="0035444D" w:rsidP="0035444D">
      <w:pPr>
        <w:jc w:val="both"/>
        <w:rPr>
          <w:rFonts w:ascii="Times New Roman" w:hAnsi="Times New Roman" w:cs="Times New Roman"/>
          <w:b/>
          <w:bCs/>
          <w:i/>
          <w:sz w:val="20"/>
          <w:szCs w:val="20"/>
        </w:rPr>
      </w:pPr>
      <w:r w:rsidRPr="00B35C7D">
        <w:rPr>
          <w:rFonts w:ascii="Times New Roman" w:hAnsi="Times New Roman" w:cs="Times New Roman"/>
          <w:b/>
          <w:i/>
          <w:sz w:val="20"/>
        </w:rPr>
        <w:t xml:space="preserve">Proposal </w:t>
      </w:r>
      <w:r>
        <w:rPr>
          <w:rFonts w:ascii="Times New Roman" w:hAnsi="Times New Roman" w:cs="Times New Roman"/>
          <w:b/>
          <w:i/>
          <w:sz w:val="20"/>
        </w:rPr>
        <w:t>8</w:t>
      </w:r>
      <w:r w:rsidRPr="00B35C7D">
        <w:rPr>
          <w:rFonts w:ascii="Times New Roman" w:hAnsi="Times New Roman" w:cs="Times New Roman"/>
          <w:b/>
          <w:bCs/>
          <w:i/>
          <w:sz w:val="20"/>
          <w:szCs w:val="20"/>
        </w:rPr>
        <w:t>: For UEs configured with only 1 HARQ process, the DL and UL (non-anchor) carriers can be configured independently, and the UE would not start UL unless the DL is finished, and vice versa.</w:t>
      </w:r>
    </w:p>
    <w:p w14:paraId="6186C443" w14:textId="77777777" w:rsidR="0035444D" w:rsidRPr="00B35C7D" w:rsidRDefault="0035444D" w:rsidP="0035444D">
      <w:pPr>
        <w:jc w:val="both"/>
        <w:rPr>
          <w:rFonts w:ascii="Times New Roman" w:hAnsi="Times New Roman" w:cs="Times New Roman"/>
          <w:b/>
          <w:bCs/>
          <w:i/>
          <w:sz w:val="20"/>
          <w:szCs w:val="20"/>
        </w:rPr>
      </w:pPr>
      <w:r w:rsidRPr="00B35C7D">
        <w:rPr>
          <w:rFonts w:ascii="Times New Roman" w:hAnsi="Times New Roman" w:cs="Times New Roman"/>
          <w:sz w:val="20"/>
        </w:rPr>
        <w:t xml:space="preserve"> </w:t>
      </w:r>
      <w:r w:rsidRPr="00B35C7D">
        <w:rPr>
          <w:rFonts w:ascii="Times New Roman" w:hAnsi="Times New Roman" w:cs="Times New Roman"/>
          <w:b/>
          <w:i/>
          <w:sz w:val="20"/>
        </w:rPr>
        <w:t xml:space="preserve">Proposal </w:t>
      </w:r>
      <w:r>
        <w:rPr>
          <w:rFonts w:ascii="Times New Roman" w:hAnsi="Times New Roman" w:cs="Times New Roman"/>
          <w:b/>
          <w:i/>
          <w:sz w:val="20"/>
        </w:rPr>
        <w:t>9</w:t>
      </w:r>
      <w:r w:rsidRPr="00B35C7D">
        <w:rPr>
          <w:rFonts w:ascii="Times New Roman" w:hAnsi="Times New Roman" w:cs="Times New Roman"/>
          <w:b/>
          <w:bCs/>
          <w:i/>
          <w:sz w:val="20"/>
          <w:szCs w:val="20"/>
        </w:rPr>
        <w:t>: For UEs configured with 2 HARQ process, UE can assume the DL and UL transmissions are on the same carrier.</w:t>
      </w:r>
    </w:p>
    <w:p w14:paraId="031D627F" w14:textId="77777777" w:rsidR="00BA0384" w:rsidRPr="007E09B9" w:rsidRDefault="00BA0384" w:rsidP="00BA0384">
      <w:pPr>
        <w:pStyle w:val="Heading1"/>
        <w:rPr>
          <w:rFonts w:ascii="Times New Roman" w:hAnsi="Times New Roman" w:cs="Times New Roman"/>
        </w:rPr>
      </w:pPr>
      <w:r w:rsidRPr="007E09B9">
        <w:rPr>
          <w:rFonts w:ascii="Times New Roman" w:hAnsi="Times New Roman" w:cs="Times New Roman"/>
        </w:rPr>
        <w:t>References</w:t>
      </w:r>
    </w:p>
    <w:p w14:paraId="195858FD" w14:textId="77777777" w:rsidR="00BA0384" w:rsidRPr="00B35C7D" w:rsidRDefault="00BA0384" w:rsidP="00BA0384">
      <w:pPr>
        <w:pStyle w:val="Reference"/>
        <w:rPr>
          <w:rFonts w:ascii="Times New Roman" w:hAnsi="Times New Roman" w:cs="Times New Roman"/>
          <w:sz w:val="20"/>
          <w:szCs w:val="20"/>
        </w:rPr>
      </w:pPr>
      <w:r w:rsidRPr="00B35C7D">
        <w:rPr>
          <w:rFonts w:ascii="Times New Roman" w:hAnsi="Times New Roman" w:cs="Times New Roman"/>
          <w:sz w:val="20"/>
          <w:szCs w:val="20"/>
        </w:rPr>
        <w:t>RP-170732, “New WI on Further NB-IoT enhancements”, RAN #75.</w:t>
      </w:r>
    </w:p>
    <w:p w14:paraId="6D5A93E3" w14:textId="1961FA64" w:rsidR="00BA0384" w:rsidRPr="00B35C7D" w:rsidRDefault="00BA0384" w:rsidP="00BA0384">
      <w:pPr>
        <w:pStyle w:val="Reference"/>
        <w:rPr>
          <w:rFonts w:ascii="Times New Roman" w:hAnsi="Times New Roman" w:cs="Times New Roman"/>
          <w:sz w:val="20"/>
          <w:szCs w:val="20"/>
        </w:rPr>
      </w:pPr>
      <w:r w:rsidRPr="00B35C7D">
        <w:rPr>
          <w:rFonts w:ascii="Times New Roman" w:hAnsi="Times New Roman" w:cs="Times New Roman"/>
          <w:sz w:val="20"/>
          <w:szCs w:val="20"/>
        </w:rPr>
        <w:t>RP-171440, “Way Forward on Prioritization of NB-IoT”, RAN #76.</w:t>
      </w:r>
    </w:p>
    <w:p w14:paraId="1F7E3E3F" w14:textId="5F76716A" w:rsidR="00810A1E" w:rsidRPr="000B495A" w:rsidRDefault="00810A1E" w:rsidP="00810A1E">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B35C7D">
        <w:rPr>
          <w:rFonts w:ascii="Times New Roman" w:hAnsi="Times New Roman" w:cs="Times New Roman"/>
          <w:sz w:val="20"/>
          <w:szCs w:val="20"/>
        </w:rPr>
        <w:t>RP-172063, “</w:t>
      </w:r>
      <w:r w:rsidRPr="00B35C7D">
        <w:rPr>
          <w:rFonts w:ascii="Times New Roman" w:eastAsia="Batang" w:hAnsi="Times New Roman" w:cs="Times New Roman"/>
          <w:sz w:val="20"/>
          <w:szCs w:val="20"/>
        </w:rPr>
        <w:t>Revised WID on Further NB-IoT enhancements”, RAN 77.</w:t>
      </w:r>
    </w:p>
    <w:p w14:paraId="5DE9D93B" w14:textId="4B8FB7E6" w:rsidR="000B495A" w:rsidRDefault="000B495A" w:rsidP="000B495A">
      <w:pPr>
        <w:pStyle w:val="Reference"/>
        <w:rPr>
          <w:rFonts w:ascii="Times New Roman" w:hAnsi="Times New Roman" w:cs="Times New Roman"/>
          <w:sz w:val="20"/>
          <w:szCs w:val="20"/>
        </w:rPr>
      </w:pPr>
      <w:r w:rsidRPr="00B35C7D">
        <w:rPr>
          <w:rFonts w:ascii="Times New Roman" w:hAnsi="Times New Roman" w:cs="Times New Roman"/>
          <w:sz w:val="20"/>
          <w:szCs w:val="20"/>
        </w:rPr>
        <w:t>Final Chairman’s Notes RAN1 #9</w:t>
      </w:r>
      <w:r>
        <w:rPr>
          <w:rFonts w:ascii="Times New Roman" w:hAnsi="Times New Roman" w:cs="Times New Roman"/>
          <w:sz w:val="20"/>
          <w:szCs w:val="20"/>
        </w:rPr>
        <w:t>2</w:t>
      </w:r>
      <w:r w:rsidRPr="00B35C7D">
        <w:rPr>
          <w:rFonts w:ascii="Times New Roman" w:hAnsi="Times New Roman" w:cs="Times New Roman"/>
          <w:sz w:val="20"/>
          <w:szCs w:val="20"/>
        </w:rPr>
        <w:t>, 3GPP.</w:t>
      </w:r>
    </w:p>
    <w:p w14:paraId="638ED289" w14:textId="1303EB40" w:rsidR="000B495A" w:rsidRDefault="000B495A" w:rsidP="000B495A">
      <w:pPr>
        <w:pStyle w:val="Reference"/>
        <w:rPr>
          <w:rFonts w:ascii="Times New Roman" w:hAnsi="Times New Roman" w:cs="Times New Roman"/>
          <w:sz w:val="20"/>
          <w:szCs w:val="20"/>
        </w:rPr>
      </w:pPr>
      <w:r w:rsidRPr="00B35C7D">
        <w:rPr>
          <w:rFonts w:ascii="Times New Roman" w:hAnsi="Times New Roman" w:cs="Times New Roman"/>
          <w:sz w:val="20"/>
          <w:szCs w:val="20"/>
        </w:rPr>
        <w:lastRenderedPageBreak/>
        <w:t>3GPP TS 36.211, “Physical channels and modulation”, v14.2.0.</w:t>
      </w:r>
    </w:p>
    <w:p w14:paraId="18581017" w14:textId="2492E619" w:rsidR="000B495A" w:rsidRDefault="000B495A" w:rsidP="000B495A">
      <w:pPr>
        <w:pStyle w:val="Reference"/>
        <w:rPr>
          <w:rFonts w:ascii="Times New Roman" w:hAnsi="Times New Roman" w:cs="Times New Roman"/>
          <w:sz w:val="20"/>
          <w:szCs w:val="20"/>
        </w:rPr>
      </w:pPr>
      <w:r w:rsidRPr="00B35C7D">
        <w:rPr>
          <w:rFonts w:ascii="Times New Roman" w:hAnsi="Times New Roman" w:cs="Times New Roman"/>
          <w:sz w:val="20"/>
          <w:szCs w:val="20"/>
        </w:rPr>
        <w:t>Final Chairman’s Notes RAN1 #9</w:t>
      </w:r>
      <w:r>
        <w:rPr>
          <w:rFonts w:ascii="Times New Roman" w:hAnsi="Times New Roman" w:cs="Times New Roman"/>
          <w:sz w:val="20"/>
          <w:szCs w:val="20"/>
        </w:rPr>
        <w:t>0bis</w:t>
      </w:r>
      <w:r w:rsidRPr="00B35C7D">
        <w:rPr>
          <w:rFonts w:ascii="Times New Roman" w:hAnsi="Times New Roman" w:cs="Times New Roman"/>
          <w:sz w:val="20"/>
          <w:szCs w:val="20"/>
        </w:rPr>
        <w:t>, 3GPP.</w:t>
      </w:r>
    </w:p>
    <w:p w14:paraId="0670806F" w14:textId="6ED2AD41" w:rsidR="00D030AC" w:rsidRPr="00F41110" w:rsidRDefault="000B495A" w:rsidP="00F41110">
      <w:pPr>
        <w:pStyle w:val="Reference"/>
        <w:rPr>
          <w:rFonts w:ascii="Times New Roman" w:hAnsi="Times New Roman" w:cs="Times New Roman"/>
          <w:sz w:val="20"/>
          <w:szCs w:val="20"/>
        </w:rPr>
      </w:pPr>
      <w:bookmarkStart w:id="9" w:name="_Ref510768832"/>
      <w:r w:rsidRPr="00B35C7D">
        <w:rPr>
          <w:rFonts w:ascii="Times New Roman" w:hAnsi="Times New Roman" w:cs="Times New Roman"/>
          <w:sz w:val="20"/>
          <w:szCs w:val="20"/>
        </w:rPr>
        <w:t>3GPP TR 45.820, “Cellular system support for ultra-low complexity and low throughput Internet of Things (CIoT),” version 13.1.0.</w:t>
      </w:r>
      <w:bookmarkEnd w:id="9"/>
    </w:p>
    <w:sectPr w:rsidR="00D030AC" w:rsidRPr="00F41110" w:rsidSect="00EF7F6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40407" w14:textId="77777777" w:rsidR="00CA0A14" w:rsidRDefault="00CA0A14">
      <w:r>
        <w:separator/>
      </w:r>
    </w:p>
  </w:endnote>
  <w:endnote w:type="continuationSeparator" w:id="0">
    <w:p w14:paraId="44E4D408" w14:textId="77777777" w:rsidR="00CA0A14" w:rsidRDefault="00CA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A15A" w14:textId="0133FB9D" w:rsidR="009A4FB2" w:rsidRDefault="009A4F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43C6">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43C6">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0F89D" w14:textId="77777777" w:rsidR="00CA0A14" w:rsidRDefault="00CA0A14">
      <w:r>
        <w:separator/>
      </w:r>
    </w:p>
  </w:footnote>
  <w:footnote w:type="continuationSeparator" w:id="0">
    <w:p w14:paraId="7E8331EF" w14:textId="77777777" w:rsidR="00CA0A14" w:rsidRDefault="00CA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7B60" w14:textId="77777777" w:rsidR="009A4FB2" w:rsidRDefault="009A4F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267"/>
    <w:multiLevelType w:val="multilevel"/>
    <w:tmpl w:val="D4B2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A4255E"/>
    <w:multiLevelType w:val="hybridMultilevel"/>
    <w:tmpl w:val="6BF6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10D4B"/>
    <w:multiLevelType w:val="hybridMultilevel"/>
    <w:tmpl w:val="E022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4DE9"/>
    <w:multiLevelType w:val="hybridMultilevel"/>
    <w:tmpl w:val="4CDAA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4161C"/>
    <w:multiLevelType w:val="hybridMultilevel"/>
    <w:tmpl w:val="C9DC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F76DD"/>
    <w:multiLevelType w:val="hybridMultilevel"/>
    <w:tmpl w:val="BA641134"/>
    <w:lvl w:ilvl="0" w:tplc="7F58F686">
      <w:start w:val="1"/>
      <w:numFmt w:val="bullet"/>
      <w:lvlText w:val="•"/>
      <w:lvlJc w:val="left"/>
      <w:pPr>
        <w:tabs>
          <w:tab w:val="num" w:pos="720"/>
        </w:tabs>
        <w:ind w:left="720" w:hanging="360"/>
      </w:pPr>
      <w:rPr>
        <w:rFonts w:ascii="Arial" w:hAnsi="Arial" w:hint="default"/>
      </w:rPr>
    </w:lvl>
    <w:lvl w:ilvl="1" w:tplc="F4726000">
      <w:numFmt w:val="bullet"/>
      <w:lvlText w:val="•"/>
      <w:lvlJc w:val="left"/>
      <w:pPr>
        <w:tabs>
          <w:tab w:val="num" w:pos="1440"/>
        </w:tabs>
        <w:ind w:left="1440" w:hanging="360"/>
      </w:pPr>
      <w:rPr>
        <w:rFonts w:ascii="Arial" w:hAnsi="Arial" w:hint="default"/>
      </w:rPr>
    </w:lvl>
    <w:lvl w:ilvl="2" w:tplc="719AB120" w:tentative="1">
      <w:start w:val="1"/>
      <w:numFmt w:val="bullet"/>
      <w:lvlText w:val="•"/>
      <w:lvlJc w:val="left"/>
      <w:pPr>
        <w:tabs>
          <w:tab w:val="num" w:pos="2160"/>
        </w:tabs>
        <w:ind w:left="2160" w:hanging="360"/>
      </w:pPr>
      <w:rPr>
        <w:rFonts w:ascii="Arial" w:hAnsi="Arial" w:hint="default"/>
      </w:rPr>
    </w:lvl>
    <w:lvl w:ilvl="3" w:tplc="86AC0ABC" w:tentative="1">
      <w:start w:val="1"/>
      <w:numFmt w:val="bullet"/>
      <w:lvlText w:val="•"/>
      <w:lvlJc w:val="left"/>
      <w:pPr>
        <w:tabs>
          <w:tab w:val="num" w:pos="2880"/>
        </w:tabs>
        <w:ind w:left="2880" w:hanging="360"/>
      </w:pPr>
      <w:rPr>
        <w:rFonts w:ascii="Arial" w:hAnsi="Arial" w:hint="default"/>
      </w:rPr>
    </w:lvl>
    <w:lvl w:ilvl="4" w:tplc="1F0EBD70" w:tentative="1">
      <w:start w:val="1"/>
      <w:numFmt w:val="bullet"/>
      <w:lvlText w:val="•"/>
      <w:lvlJc w:val="left"/>
      <w:pPr>
        <w:tabs>
          <w:tab w:val="num" w:pos="3600"/>
        </w:tabs>
        <w:ind w:left="3600" w:hanging="360"/>
      </w:pPr>
      <w:rPr>
        <w:rFonts w:ascii="Arial" w:hAnsi="Arial" w:hint="default"/>
      </w:rPr>
    </w:lvl>
    <w:lvl w:ilvl="5" w:tplc="F7DC7524" w:tentative="1">
      <w:start w:val="1"/>
      <w:numFmt w:val="bullet"/>
      <w:lvlText w:val="•"/>
      <w:lvlJc w:val="left"/>
      <w:pPr>
        <w:tabs>
          <w:tab w:val="num" w:pos="4320"/>
        </w:tabs>
        <w:ind w:left="4320" w:hanging="360"/>
      </w:pPr>
      <w:rPr>
        <w:rFonts w:ascii="Arial" w:hAnsi="Arial" w:hint="default"/>
      </w:rPr>
    </w:lvl>
    <w:lvl w:ilvl="6" w:tplc="67BAD22A" w:tentative="1">
      <w:start w:val="1"/>
      <w:numFmt w:val="bullet"/>
      <w:lvlText w:val="•"/>
      <w:lvlJc w:val="left"/>
      <w:pPr>
        <w:tabs>
          <w:tab w:val="num" w:pos="5040"/>
        </w:tabs>
        <w:ind w:left="5040" w:hanging="360"/>
      </w:pPr>
      <w:rPr>
        <w:rFonts w:ascii="Arial" w:hAnsi="Arial" w:hint="default"/>
      </w:rPr>
    </w:lvl>
    <w:lvl w:ilvl="7" w:tplc="372292D0" w:tentative="1">
      <w:start w:val="1"/>
      <w:numFmt w:val="bullet"/>
      <w:lvlText w:val="•"/>
      <w:lvlJc w:val="left"/>
      <w:pPr>
        <w:tabs>
          <w:tab w:val="num" w:pos="5760"/>
        </w:tabs>
        <w:ind w:left="5760" w:hanging="360"/>
      </w:pPr>
      <w:rPr>
        <w:rFonts w:ascii="Arial" w:hAnsi="Arial" w:hint="default"/>
      </w:rPr>
    </w:lvl>
    <w:lvl w:ilvl="8" w:tplc="9A3EB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66453"/>
    <w:multiLevelType w:val="hybridMultilevel"/>
    <w:tmpl w:val="2A64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54253"/>
    <w:multiLevelType w:val="hybridMultilevel"/>
    <w:tmpl w:val="417CA1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1E86"/>
    <w:multiLevelType w:val="hybridMultilevel"/>
    <w:tmpl w:val="7F42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A266D"/>
    <w:multiLevelType w:val="hybridMultilevel"/>
    <w:tmpl w:val="9B1A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070BC"/>
    <w:multiLevelType w:val="hybridMultilevel"/>
    <w:tmpl w:val="7762491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3C4C84"/>
    <w:multiLevelType w:val="hybridMultilevel"/>
    <w:tmpl w:val="6802A1B0"/>
    <w:lvl w:ilvl="0" w:tplc="5E2C4526">
      <w:start w:val="1"/>
      <w:numFmt w:val="bullet"/>
      <w:lvlText w:val="•"/>
      <w:lvlJc w:val="left"/>
      <w:pPr>
        <w:tabs>
          <w:tab w:val="num" w:pos="720"/>
        </w:tabs>
        <w:ind w:left="720" w:hanging="360"/>
      </w:pPr>
      <w:rPr>
        <w:rFonts w:ascii="Arial" w:hAnsi="Arial" w:hint="default"/>
      </w:rPr>
    </w:lvl>
    <w:lvl w:ilvl="1" w:tplc="5A200052">
      <w:numFmt w:val="bullet"/>
      <w:lvlText w:val="•"/>
      <w:lvlJc w:val="left"/>
      <w:pPr>
        <w:tabs>
          <w:tab w:val="num" w:pos="1440"/>
        </w:tabs>
        <w:ind w:left="1440" w:hanging="360"/>
      </w:pPr>
      <w:rPr>
        <w:rFonts w:ascii="Arial" w:hAnsi="Arial" w:hint="default"/>
      </w:rPr>
    </w:lvl>
    <w:lvl w:ilvl="2" w:tplc="B7D27202" w:tentative="1">
      <w:start w:val="1"/>
      <w:numFmt w:val="bullet"/>
      <w:lvlText w:val="•"/>
      <w:lvlJc w:val="left"/>
      <w:pPr>
        <w:tabs>
          <w:tab w:val="num" w:pos="2160"/>
        </w:tabs>
        <w:ind w:left="2160" w:hanging="360"/>
      </w:pPr>
      <w:rPr>
        <w:rFonts w:ascii="Arial" w:hAnsi="Arial" w:hint="default"/>
      </w:rPr>
    </w:lvl>
    <w:lvl w:ilvl="3" w:tplc="0FA476F0" w:tentative="1">
      <w:start w:val="1"/>
      <w:numFmt w:val="bullet"/>
      <w:lvlText w:val="•"/>
      <w:lvlJc w:val="left"/>
      <w:pPr>
        <w:tabs>
          <w:tab w:val="num" w:pos="2880"/>
        </w:tabs>
        <w:ind w:left="2880" w:hanging="360"/>
      </w:pPr>
      <w:rPr>
        <w:rFonts w:ascii="Arial" w:hAnsi="Arial" w:hint="default"/>
      </w:rPr>
    </w:lvl>
    <w:lvl w:ilvl="4" w:tplc="4FBA1B3C" w:tentative="1">
      <w:start w:val="1"/>
      <w:numFmt w:val="bullet"/>
      <w:lvlText w:val="•"/>
      <w:lvlJc w:val="left"/>
      <w:pPr>
        <w:tabs>
          <w:tab w:val="num" w:pos="3600"/>
        </w:tabs>
        <w:ind w:left="3600" w:hanging="360"/>
      </w:pPr>
      <w:rPr>
        <w:rFonts w:ascii="Arial" w:hAnsi="Arial" w:hint="default"/>
      </w:rPr>
    </w:lvl>
    <w:lvl w:ilvl="5" w:tplc="2278DEDC" w:tentative="1">
      <w:start w:val="1"/>
      <w:numFmt w:val="bullet"/>
      <w:lvlText w:val="•"/>
      <w:lvlJc w:val="left"/>
      <w:pPr>
        <w:tabs>
          <w:tab w:val="num" w:pos="4320"/>
        </w:tabs>
        <w:ind w:left="4320" w:hanging="360"/>
      </w:pPr>
      <w:rPr>
        <w:rFonts w:ascii="Arial" w:hAnsi="Arial" w:hint="default"/>
      </w:rPr>
    </w:lvl>
    <w:lvl w:ilvl="6" w:tplc="29F048C2" w:tentative="1">
      <w:start w:val="1"/>
      <w:numFmt w:val="bullet"/>
      <w:lvlText w:val="•"/>
      <w:lvlJc w:val="left"/>
      <w:pPr>
        <w:tabs>
          <w:tab w:val="num" w:pos="5040"/>
        </w:tabs>
        <w:ind w:left="5040" w:hanging="360"/>
      </w:pPr>
      <w:rPr>
        <w:rFonts w:ascii="Arial" w:hAnsi="Arial" w:hint="default"/>
      </w:rPr>
    </w:lvl>
    <w:lvl w:ilvl="7" w:tplc="96525426" w:tentative="1">
      <w:start w:val="1"/>
      <w:numFmt w:val="bullet"/>
      <w:lvlText w:val="•"/>
      <w:lvlJc w:val="left"/>
      <w:pPr>
        <w:tabs>
          <w:tab w:val="num" w:pos="5760"/>
        </w:tabs>
        <w:ind w:left="5760" w:hanging="360"/>
      </w:pPr>
      <w:rPr>
        <w:rFonts w:ascii="Arial" w:hAnsi="Arial" w:hint="default"/>
      </w:rPr>
    </w:lvl>
    <w:lvl w:ilvl="8" w:tplc="B9B25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22362E"/>
    <w:multiLevelType w:val="hybridMultilevel"/>
    <w:tmpl w:val="9BFE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432FF"/>
    <w:multiLevelType w:val="hybridMultilevel"/>
    <w:tmpl w:val="2EDE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854ECD"/>
    <w:multiLevelType w:val="hybridMultilevel"/>
    <w:tmpl w:val="91805CA8"/>
    <w:lvl w:ilvl="0" w:tplc="9E768DF8">
      <w:start w:val="1"/>
      <w:numFmt w:val="decimal"/>
      <w:lvlText w:val="Proposal %1."/>
      <w:lvlJc w:val="left"/>
      <w:pPr>
        <w:ind w:left="720" w:hanging="360"/>
      </w:pPr>
      <w:rPr>
        <w:rFonts w:hint="default"/>
      </w:rPr>
    </w:lvl>
    <w:lvl w:ilvl="1" w:tplc="04090001">
      <w:start w:val="1"/>
      <w:numFmt w:val="bullet"/>
      <w:lvlText w:val=""/>
      <w:lvlJc w:val="left"/>
      <w:pPr>
        <w:ind w:left="1650" w:hanging="57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11508"/>
    <w:multiLevelType w:val="hybridMultilevel"/>
    <w:tmpl w:val="1AB88F6C"/>
    <w:lvl w:ilvl="0" w:tplc="AF9C8C0E">
      <w:start w:val="1"/>
      <w:numFmt w:val="decimalZero"/>
      <w:pStyle w:val="NumberedParagraph"/>
      <w:lvlText w:val="[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CC36226"/>
    <w:multiLevelType w:val="hybridMultilevel"/>
    <w:tmpl w:val="54F4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E699B"/>
    <w:multiLevelType w:val="hybridMultilevel"/>
    <w:tmpl w:val="73783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D30B17"/>
    <w:multiLevelType w:val="hybridMultilevel"/>
    <w:tmpl w:val="51F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16F01CA"/>
    <w:multiLevelType w:val="hybridMultilevel"/>
    <w:tmpl w:val="C4A45C0C"/>
    <w:lvl w:ilvl="0" w:tplc="9E768DF8">
      <w:start w:val="1"/>
      <w:numFmt w:val="decimal"/>
      <w:lvlText w:val="Proposal %1."/>
      <w:lvlJc w:val="left"/>
      <w:pPr>
        <w:ind w:left="720" w:hanging="360"/>
      </w:pPr>
      <w:rPr>
        <w:rFonts w:hint="default"/>
      </w:rPr>
    </w:lvl>
    <w:lvl w:ilvl="1" w:tplc="CFF6A622">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4456C1"/>
    <w:multiLevelType w:val="hybridMultilevel"/>
    <w:tmpl w:val="CC18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19"/>
  </w:num>
  <w:num w:numId="5">
    <w:abstractNumId w:val="14"/>
  </w:num>
  <w:num w:numId="6">
    <w:abstractNumId w:val="24"/>
  </w:num>
  <w:num w:numId="7">
    <w:abstractNumId w:val="28"/>
  </w:num>
  <w:num w:numId="8">
    <w:abstractNumId w:val="15"/>
  </w:num>
  <w:num w:numId="9">
    <w:abstractNumId w:val="34"/>
  </w:num>
  <w:num w:numId="10">
    <w:abstractNumId w:val="12"/>
  </w:num>
  <w:num w:numId="11">
    <w:abstractNumId w:val="35"/>
  </w:num>
  <w:num w:numId="12">
    <w:abstractNumId w:val="27"/>
  </w:num>
  <w:num w:numId="13">
    <w:abstractNumId w:val="16"/>
  </w:num>
  <w:num w:numId="14">
    <w:abstractNumId w:val="29"/>
  </w:num>
  <w:num w:numId="15">
    <w:abstractNumId w:val="13"/>
  </w:num>
  <w:num w:numId="16">
    <w:abstractNumId w:val="26"/>
  </w:num>
  <w:num w:numId="17">
    <w:abstractNumId w:val="23"/>
  </w:num>
  <w:num w:numId="18">
    <w:abstractNumId w:val="1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6"/>
  </w:num>
  <w:num w:numId="29">
    <w:abstractNumId w:val="7"/>
  </w:num>
  <w:num w:numId="30">
    <w:abstractNumId w:val="9"/>
  </w:num>
  <w:num w:numId="31">
    <w:abstractNumId w:val="4"/>
  </w:num>
  <w:num w:numId="32">
    <w:abstractNumId w:val="5"/>
  </w:num>
  <w:num w:numId="33">
    <w:abstractNumId w:val="31"/>
  </w:num>
  <w:num w:numId="34">
    <w:abstractNumId w:val="30"/>
  </w:num>
  <w:num w:numId="35">
    <w:abstractNumId w:val="22"/>
  </w:num>
  <w:num w:numId="36">
    <w:abstractNumId w:val="17"/>
  </w:num>
  <w:num w:numId="37">
    <w:abstractNumId w:val="11"/>
  </w:num>
  <w:num w:numId="38">
    <w:abstractNumId w:val="11"/>
  </w:num>
  <w:num w:numId="39">
    <w:abstractNumId w:val="33"/>
  </w:num>
  <w:num w:numId="40">
    <w:abstractNumId w:val="3"/>
  </w:num>
  <w:num w:numId="41">
    <w:abstractNumId w:val="36"/>
  </w:num>
  <w:num w:numId="42">
    <w:abstractNumId w:val="32"/>
  </w:num>
  <w:num w:numId="43">
    <w:abstractNumId w:val="21"/>
  </w:num>
  <w:num w:numId="44">
    <w:abstractNumId w:val="8"/>
  </w:num>
  <w:num w:numId="4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996"/>
    <w:rsid w:val="00002A11"/>
    <w:rsid w:val="00002A37"/>
    <w:rsid w:val="00002A38"/>
    <w:rsid w:val="0000328C"/>
    <w:rsid w:val="000032A9"/>
    <w:rsid w:val="00003D24"/>
    <w:rsid w:val="00003D47"/>
    <w:rsid w:val="00003DED"/>
    <w:rsid w:val="00003FE3"/>
    <w:rsid w:val="00004B49"/>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A82"/>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85C"/>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542"/>
    <w:rsid w:val="000368F8"/>
    <w:rsid w:val="00036AAC"/>
    <w:rsid w:val="00036B55"/>
    <w:rsid w:val="00036BA1"/>
    <w:rsid w:val="00036E0A"/>
    <w:rsid w:val="00037050"/>
    <w:rsid w:val="000378F9"/>
    <w:rsid w:val="000401FA"/>
    <w:rsid w:val="000403E1"/>
    <w:rsid w:val="000405E2"/>
    <w:rsid w:val="000410BC"/>
    <w:rsid w:val="000421B6"/>
    <w:rsid w:val="000422E2"/>
    <w:rsid w:val="00042339"/>
    <w:rsid w:val="0004253E"/>
    <w:rsid w:val="00042E87"/>
    <w:rsid w:val="00042F22"/>
    <w:rsid w:val="000431D6"/>
    <w:rsid w:val="00043499"/>
    <w:rsid w:val="000444EF"/>
    <w:rsid w:val="00044790"/>
    <w:rsid w:val="00044BE9"/>
    <w:rsid w:val="0004614D"/>
    <w:rsid w:val="00047D17"/>
    <w:rsid w:val="000500AF"/>
    <w:rsid w:val="000526BF"/>
    <w:rsid w:val="000528CD"/>
    <w:rsid w:val="000528E7"/>
    <w:rsid w:val="00052A07"/>
    <w:rsid w:val="00052C37"/>
    <w:rsid w:val="000534E3"/>
    <w:rsid w:val="000536CE"/>
    <w:rsid w:val="0005381E"/>
    <w:rsid w:val="00053FC9"/>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B4B"/>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70E"/>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1D62"/>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5F74"/>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217"/>
    <w:rsid w:val="0009682B"/>
    <w:rsid w:val="00096AC4"/>
    <w:rsid w:val="00097042"/>
    <w:rsid w:val="00097056"/>
    <w:rsid w:val="00097268"/>
    <w:rsid w:val="00097555"/>
    <w:rsid w:val="00097867"/>
    <w:rsid w:val="00097E47"/>
    <w:rsid w:val="000A0040"/>
    <w:rsid w:val="000A0061"/>
    <w:rsid w:val="000A06A6"/>
    <w:rsid w:val="000A1B7B"/>
    <w:rsid w:val="000A251E"/>
    <w:rsid w:val="000A2729"/>
    <w:rsid w:val="000A2DC9"/>
    <w:rsid w:val="000A31DD"/>
    <w:rsid w:val="000A351A"/>
    <w:rsid w:val="000A3695"/>
    <w:rsid w:val="000A39AA"/>
    <w:rsid w:val="000A4113"/>
    <w:rsid w:val="000A4116"/>
    <w:rsid w:val="000A458E"/>
    <w:rsid w:val="000A514C"/>
    <w:rsid w:val="000A56F2"/>
    <w:rsid w:val="000A585C"/>
    <w:rsid w:val="000A6E01"/>
    <w:rsid w:val="000A7492"/>
    <w:rsid w:val="000A7A64"/>
    <w:rsid w:val="000A7D12"/>
    <w:rsid w:val="000B0ECF"/>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95A"/>
    <w:rsid w:val="000B4AB9"/>
    <w:rsid w:val="000B5218"/>
    <w:rsid w:val="000B58C3"/>
    <w:rsid w:val="000B5CC0"/>
    <w:rsid w:val="000B5FA8"/>
    <w:rsid w:val="000B5FC4"/>
    <w:rsid w:val="000B61E9"/>
    <w:rsid w:val="000B6378"/>
    <w:rsid w:val="000B6931"/>
    <w:rsid w:val="000B6E38"/>
    <w:rsid w:val="000B74D9"/>
    <w:rsid w:val="000B7AF5"/>
    <w:rsid w:val="000B7C52"/>
    <w:rsid w:val="000B7E42"/>
    <w:rsid w:val="000C04BA"/>
    <w:rsid w:val="000C07EA"/>
    <w:rsid w:val="000C165A"/>
    <w:rsid w:val="000C1C4D"/>
    <w:rsid w:val="000C1C4F"/>
    <w:rsid w:val="000C227B"/>
    <w:rsid w:val="000C2E19"/>
    <w:rsid w:val="000C2E52"/>
    <w:rsid w:val="000C37BE"/>
    <w:rsid w:val="000C38B5"/>
    <w:rsid w:val="000C406A"/>
    <w:rsid w:val="000C5D22"/>
    <w:rsid w:val="000C5D27"/>
    <w:rsid w:val="000C6595"/>
    <w:rsid w:val="000C6B28"/>
    <w:rsid w:val="000C6BE4"/>
    <w:rsid w:val="000C6FB1"/>
    <w:rsid w:val="000C7ED1"/>
    <w:rsid w:val="000D01FE"/>
    <w:rsid w:val="000D0AE8"/>
    <w:rsid w:val="000D0D07"/>
    <w:rsid w:val="000D1C54"/>
    <w:rsid w:val="000D1F35"/>
    <w:rsid w:val="000D20E5"/>
    <w:rsid w:val="000D2DFB"/>
    <w:rsid w:val="000D2E12"/>
    <w:rsid w:val="000D2F45"/>
    <w:rsid w:val="000D355B"/>
    <w:rsid w:val="000D3F42"/>
    <w:rsid w:val="000D4797"/>
    <w:rsid w:val="000D47EA"/>
    <w:rsid w:val="000D5030"/>
    <w:rsid w:val="000D5618"/>
    <w:rsid w:val="000D5871"/>
    <w:rsid w:val="000D5B46"/>
    <w:rsid w:val="000D6300"/>
    <w:rsid w:val="000D636E"/>
    <w:rsid w:val="000D6692"/>
    <w:rsid w:val="000D6F46"/>
    <w:rsid w:val="000D773A"/>
    <w:rsid w:val="000E01B2"/>
    <w:rsid w:val="000E0527"/>
    <w:rsid w:val="000E0556"/>
    <w:rsid w:val="000E073F"/>
    <w:rsid w:val="000E08D2"/>
    <w:rsid w:val="000E0E31"/>
    <w:rsid w:val="000E1E92"/>
    <w:rsid w:val="000E2185"/>
    <w:rsid w:val="000E223D"/>
    <w:rsid w:val="000E2270"/>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422D"/>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5C9D"/>
    <w:rsid w:val="001062FB"/>
    <w:rsid w:val="001063E6"/>
    <w:rsid w:val="0010678A"/>
    <w:rsid w:val="00106BC9"/>
    <w:rsid w:val="00106F49"/>
    <w:rsid w:val="001078D6"/>
    <w:rsid w:val="0010792E"/>
    <w:rsid w:val="00107C52"/>
    <w:rsid w:val="00107DEF"/>
    <w:rsid w:val="00111166"/>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686"/>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31"/>
    <w:rsid w:val="001273BF"/>
    <w:rsid w:val="0012758B"/>
    <w:rsid w:val="00127601"/>
    <w:rsid w:val="00127E72"/>
    <w:rsid w:val="001301BC"/>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375"/>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D0D"/>
    <w:rsid w:val="001431F7"/>
    <w:rsid w:val="00143364"/>
    <w:rsid w:val="001433FC"/>
    <w:rsid w:val="001434F2"/>
    <w:rsid w:val="001436F0"/>
    <w:rsid w:val="00143815"/>
    <w:rsid w:val="001439E8"/>
    <w:rsid w:val="00143EA4"/>
    <w:rsid w:val="00144027"/>
    <w:rsid w:val="001442C1"/>
    <w:rsid w:val="00144456"/>
    <w:rsid w:val="00144D2D"/>
    <w:rsid w:val="00144E4E"/>
    <w:rsid w:val="001453CC"/>
    <w:rsid w:val="0014569D"/>
    <w:rsid w:val="001459F0"/>
    <w:rsid w:val="00145A43"/>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02"/>
    <w:rsid w:val="0015732B"/>
    <w:rsid w:val="00160C6E"/>
    <w:rsid w:val="00161428"/>
    <w:rsid w:val="00161553"/>
    <w:rsid w:val="001616DE"/>
    <w:rsid w:val="0016171A"/>
    <w:rsid w:val="00162273"/>
    <w:rsid w:val="001624CA"/>
    <w:rsid w:val="00162691"/>
    <w:rsid w:val="00162EBD"/>
    <w:rsid w:val="00162F7A"/>
    <w:rsid w:val="00162FCB"/>
    <w:rsid w:val="001631F0"/>
    <w:rsid w:val="00163B11"/>
    <w:rsid w:val="00163DC9"/>
    <w:rsid w:val="0016404E"/>
    <w:rsid w:val="00164BBF"/>
    <w:rsid w:val="00164D94"/>
    <w:rsid w:val="00164DAA"/>
    <w:rsid w:val="00164DB1"/>
    <w:rsid w:val="00165347"/>
    <w:rsid w:val="001653A7"/>
    <w:rsid w:val="001657D3"/>
    <w:rsid w:val="001657E8"/>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97B"/>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BB2"/>
    <w:rsid w:val="00182CC0"/>
    <w:rsid w:val="00182D35"/>
    <w:rsid w:val="00183F32"/>
    <w:rsid w:val="001844BE"/>
    <w:rsid w:val="001848D9"/>
    <w:rsid w:val="0018493A"/>
    <w:rsid w:val="00184F09"/>
    <w:rsid w:val="00184FEF"/>
    <w:rsid w:val="001851F5"/>
    <w:rsid w:val="00185703"/>
    <w:rsid w:val="00185811"/>
    <w:rsid w:val="00185920"/>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2EBD"/>
    <w:rsid w:val="0019341A"/>
    <w:rsid w:val="001936BF"/>
    <w:rsid w:val="00193F77"/>
    <w:rsid w:val="0019432E"/>
    <w:rsid w:val="001943B5"/>
    <w:rsid w:val="00194706"/>
    <w:rsid w:val="0019567A"/>
    <w:rsid w:val="0019622D"/>
    <w:rsid w:val="001967C5"/>
    <w:rsid w:val="0019700E"/>
    <w:rsid w:val="0019702D"/>
    <w:rsid w:val="00197489"/>
    <w:rsid w:val="00197740"/>
    <w:rsid w:val="00197DF9"/>
    <w:rsid w:val="001A0599"/>
    <w:rsid w:val="001A0C59"/>
    <w:rsid w:val="001A0E1B"/>
    <w:rsid w:val="001A1834"/>
    <w:rsid w:val="001A1987"/>
    <w:rsid w:val="001A1BAB"/>
    <w:rsid w:val="001A1BB7"/>
    <w:rsid w:val="001A2564"/>
    <w:rsid w:val="001A2809"/>
    <w:rsid w:val="001A2819"/>
    <w:rsid w:val="001A2958"/>
    <w:rsid w:val="001A2A0F"/>
    <w:rsid w:val="001A2A7C"/>
    <w:rsid w:val="001A2EEC"/>
    <w:rsid w:val="001A31FE"/>
    <w:rsid w:val="001A44E7"/>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1A"/>
    <w:rsid w:val="001C2D2B"/>
    <w:rsid w:val="001C2DC1"/>
    <w:rsid w:val="001C3704"/>
    <w:rsid w:val="001C3D2A"/>
    <w:rsid w:val="001C44E5"/>
    <w:rsid w:val="001C527A"/>
    <w:rsid w:val="001C57F4"/>
    <w:rsid w:val="001C62C4"/>
    <w:rsid w:val="001C644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5F6B"/>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0DEF"/>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1F7F88"/>
    <w:rsid w:val="00200490"/>
    <w:rsid w:val="00200D72"/>
    <w:rsid w:val="002010D7"/>
    <w:rsid w:val="002014C8"/>
    <w:rsid w:val="00201A09"/>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BA6"/>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0C4"/>
    <w:rsid w:val="00224C60"/>
    <w:rsid w:val="002252C3"/>
    <w:rsid w:val="002253D5"/>
    <w:rsid w:val="00225B70"/>
    <w:rsid w:val="00225C54"/>
    <w:rsid w:val="00225FF0"/>
    <w:rsid w:val="00226FA3"/>
    <w:rsid w:val="002274DC"/>
    <w:rsid w:val="00227A4F"/>
    <w:rsid w:val="00230765"/>
    <w:rsid w:val="002309AA"/>
    <w:rsid w:val="00230C30"/>
    <w:rsid w:val="00231405"/>
    <w:rsid w:val="002319E4"/>
    <w:rsid w:val="00231AFE"/>
    <w:rsid w:val="00231D07"/>
    <w:rsid w:val="00231FD9"/>
    <w:rsid w:val="00232010"/>
    <w:rsid w:val="00232D90"/>
    <w:rsid w:val="00232DF0"/>
    <w:rsid w:val="00232F6B"/>
    <w:rsid w:val="00233111"/>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1EE7"/>
    <w:rsid w:val="002425EE"/>
    <w:rsid w:val="00242906"/>
    <w:rsid w:val="002433E2"/>
    <w:rsid w:val="002435B3"/>
    <w:rsid w:val="00243B24"/>
    <w:rsid w:val="00243C76"/>
    <w:rsid w:val="002441D8"/>
    <w:rsid w:val="00244DF1"/>
    <w:rsid w:val="00244EC0"/>
    <w:rsid w:val="002453E2"/>
    <w:rsid w:val="002458EB"/>
    <w:rsid w:val="002461CE"/>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4B4"/>
    <w:rsid w:val="00267582"/>
    <w:rsid w:val="0026758B"/>
    <w:rsid w:val="0026799E"/>
    <w:rsid w:val="002679D0"/>
    <w:rsid w:val="00267C83"/>
    <w:rsid w:val="00270039"/>
    <w:rsid w:val="00270260"/>
    <w:rsid w:val="002705D0"/>
    <w:rsid w:val="002706B4"/>
    <w:rsid w:val="0027074B"/>
    <w:rsid w:val="00270DBA"/>
    <w:rsid w:val="0027144F"/>
    <w:rsid w:val="00271666"/>
    <w:rsid w:val="002717FC"/>
    <w:rsid w:val="00271F3A"/>
    <w:rsid w:val="002722E5"/>
    <w:rsid w:val="00272410"/>
    <w:rsid w:val="00272B93"/>
    <w:rsid w:val="00272C7D"/>
    <w:rsid w:val="00272FCD"/>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2D05"/>
    <w:rsid w:val="002833AD"/>
    <w:rsid w:val="00283450"/>
    <w:rsid w:val="002837AB"/>
    <w:rsid w:val="00283898"/>
    <w:rsid w:val="00283E92"/>
    <w:rsid w:val="00284024"/>
    <w:rsid w:val="00284730"/>
    <w:rsid w:val="002848DB"/>
    <w:rsid w:val="00285A3A"/>
    <w:rsid w:val="00285A7F"/>
    <w:rsid w:val="00285DC5"/>
    <w:rsid w:val="002860A9"/>
    <w:rsid w:val="002860DD"/>
    <w:rsid w:val="00286ACD"/>
    <w:rsid w:val="00287838"/>
    <w:rsid w:val="00287875"/>
    <w:rsid w:val="0028787C"/>
    <w:rsid w:val="002907B5"/>
    <w:rsid w:val="00290B65"/>
    <w:rsid w:val="00290FBD"/>
    <w:rsid w:val="00291A8A"/>
    <w:rsid w:val="00291E33"/>
    <w:rsid w:val="00291FD0"/>
    <w:rsid w:val="00292452"/>
    <w:rsid w:val="00292481"/>
    <w:rsid w:val="00292B7D"/>
    <w:rsid w:val="00292E1A"/>
    <w:rsid w:val="00292EB7"/>
    <w:rsid w:val="0029308B"/>
    <w:rsid w:val="002932CA"/>
    <w:rsid w:val="00293A54"/>
    <w:rsid w:val="00293BE1"/>
    <w:rsid w:val="002950A7"/>
    <w:rsid w:val="002953E4"/>
    <w:rsid w:val="0029561D"/>
    <w:rsid w:val="00295D25"/>
    <w:rsid w:val="00295EEB"/>
    <w:rsid w:val="00296227"/>
    <w:rsid w:val="00296F44"/>
    <w:rsid w:val="0029777D"/>
    <w:rsid w:val="00297956"/>
    <w:rsid w:val="00297E15"/>
    <w:rsid w:val="002A02E2"/>
    <w:rsid w:val="002A0501"/>
    <w:rsid w:val="002A055E"/>
    <w:rsid w:val="002A090F"/>
    <w:rsid w:val="002A0CD9"/>
    <w:rsid w:val="002A0DF6"/>
    <w:rsid w:val="002A113B"/>
    <w:rsid w:val="002A1D4E"/>
    <w:rsid w:val="002A20A3"/>
    <w:rsid w:val="002A2458"/>
    <w:rsid w:val="002A2869"/>
    <w:rsid w:val="002A2D3D"/>
    <w:rsid w:val="002A2F01"/>
    <w:rsid w:val="002A3DA3"/>
    <w:rsid w:val="002A4BED"/>
    <w:rsid w:val="002A567E"/>
    <w:rsid w:val="002A6349"/>
    <w:rsid w:val="002A6C44"/>
    <w:rsid w:val="002A7575"/>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0ED"/>
    <w:rsid w:val="002B743B"/>
    <w:rsid w:val="002B7683"/>
    <w:rsid w:val="002B768B"/>
    <w:rsid w:val="002B79A1"/>
    <w:rsid w:val="002B7CA0"/>
    <w:rsid w:val="002B7E1D"/>
    <w:rsid w:val="002C0991"/>
    <w:rsid w:val="002C0C56"/>
    <w:rsid w:val="002C0F6D"/>
    <w:rsid w:val="002C1069"/>
    <w:rsid w:val="002C150A"/>
    <w:rsid w:val="002C2077"/>
    <w:rsid w:val="002C24B8"/>
    <w:rsid w:val="002C3638"/>
    <w:rsid w:val="002C398A"/>
    <w:rsid w:val="002C41E6"/>
    <w:rsid w:val="002C47EE"/>
    <w:rsid w:val="002C4C5F"/>
    <w:rsid w:val="002C4E7E"/>
    <w:rsid w:val="002C4ECB"/>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4CF"/>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09A"/>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6641"/>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A88"/>
    <w:rsid w:val="00324D23"/>
    <w:rsid w:val="003251F7"/>
    <w:rsid w:val="00325865"/>
    <w:rsid w:val="003267AD"/>
    <w:rsid w:val="00326986"/>
    <w:rsid w:val="00326AB8"/>
    <w:rsid w:val="00326F80"/>
    <w:rsid w:val="00326FAC"/>
    <w:rsid w:val="003273E7"/>
    <w:rsid w:val="003279EA"/>
    <w:rsid w:val="003279EE"/>
    <w:rsid w:val="0033048B"/>
    <w:rsid w:val="00330DD6"/>
    <w:rsid w:val="003312D3"/>
    <w:rsid w:val="003313C6"/>
    <w:rsid w:val="00331742"/>
    <w:rsid w:val="00331751"/>
    <w:rsid w:val="00331A8B"/>
    <w:rsid w:val="00331BD8"/>
    <w:rsid w:val="003321AD"/>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12A"/>
    <w:rsid w:val="00345300"/>
    <w:rsid w:val="00345640"/>
    <w:rsid w:val="00345B67"/>
    <w:rsid w:val="0034632B"/>
    <w:rsid w:val="00346383"/>
    <w:rsid w:val="00346412"/>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0F"/>
    <w:rsid w:val="0035249E"/>
    <w:rsid w:val="003524AC"/>
    <w:rsid w:val="003525B7"/>
    <w:rsid w:val="00352663"/>
    <w:rsid w:val="00352AEE"/>
    <w:rsid w:val="00352CBF"/>
    <w:rsid w:val="00352CDE"/>
    <w:rsid w:val="00352DB3"/>
    <w:rsid w:val="00353607"/>
    <w:rsid w:val="00353A1E"/>
    <w:rsid w:val="0035444D"/>
    <w:rsid w:val="00354468"/>
    <w:rsid w:val="0035449B"/>
    <w:rsid w:val="00354B12"/>
    <w:rsid w:val="00354C61"/>
    <w:rsid w:val="00354FFE"/>
    <w:rsid w:val="00355B45"/>
    <w:rsid w:val="0035646C"/>
    <w:rsid w:val="00356494"/>
    <w:rsid w:val="00357380"/>
    <w:rsid w:val="0035758F"/>
    <w:rsid w:val="003575C9"/>
    <w:rsid w:val="00357BD2"/>
    <w:rsid w:val="00357CD9"/>
    <w:rsid w:val="0036003C"/>
    <w:rsid w:val="003602D9"/>
    <w:rsid w:val="003604CE"/>
    <w:rsid w:val="00360809"/>
    <w:rsid w:val="00360A6C"/>
    <w:rsid w:val="003610D8"/>
    <w:rsid w:val="00361672"/>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05F5"/>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2064"/>
    <w:rsid w:val="003939FF"/>
    <w:rsid w:val="00393DDA"/>
    <w:rsid w:val="0039562B"/>
    <w:rsid w:val="00395A33"/>
    <w:rsid w:val="00395F30"/>
    <w:rsid w:val="003961AB"/>
    <w:rsid w:val="00396323"/>
    <w:rsid w:val="003963D4"/>
    <w:rsid w:val="00396F4E"/>
    <w:rsid w:val="003A06A2"/>
    <w:rsid w:val="003A0756"/>
    <w:rsid w:val="003A0F95"/>
    <w:rsid w:val="003A111C"/>
    <w:rsid w:val="003A1133"/>
    <w:rsid w:val="003A1336"/>
    <w:rsid w:val="003A1A6A"/>
    <w:rsid w:val="003A1C01"/>
    <w:rsid w:val="003A21CE"/>
    <w:rsid w:val="003A2216"/>
    <w:rsid w:val="003A2223"/>
    <w:rsid w:val="003A2447"/>
    <w:rsid w:val="003A25C9"/>
    <w:rsid w:val="003A2A0F"/>
    <w:rsid w:val="003A3010"/>
    <w:rsid w:val="003A3119"/>
    <w:rsid w:val="003A339D"/>
    <w:rsid w:val="003A41CF"/>
    <w:rsid w:val="003A4221"/>
    <w:rsid w:val="003A4231"/>
    <w:rsid w:val="003A431D"/>
    <w:rsid w:val="003A438A"/>
    <w:rsid w:val="003A45A1"/>
    <w:rsid w:val="003A55C0"/>
    <w:rsid w:val="003A5B0A"/>
    <w:rsid w:val="003A5F5D"/>
    <w:rsid w:val="003A5F5F"/>
    <w:rsid w:val="003A5F9B"/>
    <w:rsid w:val="003A619D"/>
    <w:rsid w:val="003A63AB"/>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2C6E"/>
    <w:rsid w:val="003D370F"/>
    <w:rsid w:val="003D3A04"/>
    <w:rsid w:val="003D3BE1"/>
    <w:rsid w:val="003D423D"/>
    <w:rsid w:val="003D4449"/>
    <w:rsid w:val="003D51FB"/>
    <w:rsid w:val="003D5434"/>
    <w:rsid w:val="003D54F0"/>
    <w:rsid w:val="003D56E6"/>
    <w:rsid w:val="003D58BB"/>
    <w:rsid w:val="003D5B1F"/>
    <w:rsid w:val="003D5E88"/>
    <w:rsid w:val="003D624D"/>
    <w:rsid w:val="003D63E4"/>
    <w:rsid w:val="003D6A4E"/>
    <w:rsid w:val="003D6D8B"/>
    <w:rsid w:val="003D7BC8"/>
    <w:rsid w:val="003D7D2B"/>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479"/>
    <w:rsid w:val="003F251C"/>
    <w:rsid w:val="003F293C"/>
    <w:rsid w:val="003F2CD4"/>
    <w:rsid w:val="003F2D10"/>
    <w:rsid w:val="003F3140"/>
    <w:rsid w:val="003F32BE"/>
    <w:rsid w:val="003F333C"/>
    <w:rsid w:val="003F398E"/>
    <w:rsid w:val="003F3A3E"/>
    <w:rsid w:val="003F40A5"/>
    <w:rsid w:val="003F4E60"/>
    <w:rsid w:val="003F5296"/>
    <w:rsid w:val="003F5998"/>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4F93"/>
    <w:rsid w:val="0040512B"/>
    <w:rsid w:val="00405355"/>
    <w:rsid w:val="00405737"/>
    <w:rsid w:val="00405CA5"/>
    <w:rsid w:val="00405F90"/>
    <w:rsid w:val="00406347"/>
    <w:rsid w:val="00406529"/>
    <w:rsid w:val="004069AF"/>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554"/>
    <w:rsid w:val="0041263E"/>
    <w:rsid w:val="00412DEF"/>
    <w:rsid w:val="00412ED3"/>
    <w:rsid w:val="00412F62"/>
    <w:rsid w:val="00413AAC"/>
    <w:rsid w:val="004140B9"/>
    <w:rsid w:val="00414372"/>
    <w:rsid w:val="00414F9F"/>
    <w:rsid w:val="00415042"/>
    <w:rsid w:val="0041511B"/>
    <w:rsid w:val="0041521D"/>
    <w:rsid w:val="004153BB"/>
    <w:rsid w:val="00415405"/>
    <w:rsid w:val="00416558"/>
    <w:rsid w:val="004166A0"/>
    <w:rsid w:val="00417294"/>
    <w:rsid w:val="004172EA"/>
    <w:rsid w:val="00417493"/>
    <w:rsid w:val="004176C4"/>
    <w:rsid w:val="004176EF"/>
    <w:rsid w:val="004205F2"/>
    <w:rsid w:val="004207CD"/>
    <w:rsid w:val="00421105"/>
    <w:rsid w:val="00421153"/>
    <w:rsid w:val="00421683"/>
    <w:rsid w:val="0042321C"/>
    <w:rsid w:val="00424176"/>
    <w:rsid w:val="004242F4"/>
    <w:rsid w:val="004243B1"/>
    <w:rsid w:val="00424604"/>
    <w:rsid w:val="004248BC"/>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34E"/>
    <w:rsid w:val="00431A60"/>
    <w:rsid w:val="00431D49"/>
    <w:rsid w:val="004320FC"/>
    <w:rsid w:val="004322B7"/>
    <w:rsid w:val="004339E8"/>
    <w:rsid w:val="00434169"/>
    <w:rsid w:val="004347C0"/>
    <w:rsid w:val="0043508E"/>
    <w:rsid w:val="00435E1D"/>
    <w:rsid w:val="00435FEA"/>
    <w:rsid w:val="004360E5"/>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57C02"/>
    <w:rsid w:val="0046091F"/>
    <w:rsid w:val="0046140B"/>
    <w:rsid w:val="00461AE9"/>
    <w:rsid w:val="0046239B"/>
    <w:rsid w:val="004628A0"/>
    <w:rsid w:val="004635E5"/>
    <w:rsid w:val="004637F1"/>
    <w:rsid w:val="00464BA3"/>
    <w:rsid w:val="00465035"/>
    <w:rsid w:val="00465322"/>
    <w:rsid w:val="00465E7B"/>
    <w:rsid w:val="00466507"/>
    <w:rsid w:val="004669E2"/>
    <w:rsid w:val="00466D1F"/>
    <w:rsid w:val="004673C4"/>
    <w:rsid w:val="004673F6"/>
    <w:rsid w:val="0046786B"/>
    <w:rsid w:val="0047063A"/>
    <w:rsid w:val="00470B9C"/>
    <w:rsid w:val="00470BC5"/>
    <w:rsid w:val="00470C31"/>
    <w:rsid w:val="00470DD0"/>
    <w:rsid w:val="00471166"/>
    <w:rsid w:val="00471340"/>
    <w:rsid w:val="00471D48"/>
    <w:rsid w:val="0047252F"/>
    <w:rsid w:val="004734D0"/>
    <w:rsid w:val="00473B26"/>
    <w:rsid w:val="004741F6"/>
    <w:rsid w:val="004742F8"/>
    <w:rsid w:val="004743D6"/>
    <w:rsid w:val="00474719"/>
    <w:rsid w:val="00474C5F"/>
    <w:rsid w:val="00474F63"/>
    <w:rsid w:val="00475188"/>
    <w:rsid w:val="004754FE"/>
    <w:rsid w:val="0047556B"/>
    <w:rsid w:val="0047744F"/>
    <w:rsid w:val="00477532"/>
    <w:rsid w:val="00477768"/>
    <w:rsid w:val="0047784C"/>
    <w:rsid w:val="00477997"/>
    <w:rsid w:val="00481515"/>
    <w:rsid w:val="00481646"/>
    <w:rsid w:val="0048224C"/>
    <w:rsid w:val="00482408"/>
    <w:rsid w:val="00482A0C"/>
    <w:rsid w:val="00482D87"/>
    <w:rsid w:val="00482DC0"/>
    <w:rsid w:val="00482E54"/>
    <w:rsid w:val="00482F04"/>
    <w:rsid w:val="00483F5C"/>
    <w:rsid w:val="00483FF9"/>
    <w:rsid w:val="00485854"/>
    <w:rsid w:val="00485EDF"/>
    <w:rsid w:val="00486A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2D4"/>
    <w:rsid w:val="004A16BC"/>
    <w:rsid w:val="004A1C08"/>
    <w:rsid w:val="004A2348"/>
    <w:rsid w:val="004A28C7"/>
    <w:rsid w:val="004A2B04"/>
    <w:rsid w:val="004A2B94"/>
    <w:rsid w:val="004A2DBA"/>
    <w:rsid w:val="004A2DF9"/>
    <w:rsid w:val="004A35AE"/>
    <w:rsid w:val="004A36DE"/>
    <w:rsid w:val="004A38C4"/>
    <w:rsid w:val="004A46BE"/>
    <w:rsid w:val="004A4B58"/>
    <w:rsid w:val="004A5EEA"/>
    <w:rsid w:val="004A6714"/>
    <w:rsid w:val="004A6DE6"/>
    <w:rsid w:val="004A6FC3"/>
    <w:rsid w:val="004A72CE"/>
    <w:rsid w:val="004A7990"/>
    <w:rsid w:val="004B008B"/>
    <w:rsid w:val="004B0152"/>
    <w:rsid w:val="004B02A5"/>
    <w:rsid w:val="004B0368"/>
    <w:rsid w:val="004B19F7"/>
    <w:rsid w:val="004B1DA6"/>
    <w:rsid w:val="004B2472"/>
    <w:rsid w:val="004B27CF"/>
    <w:rsid w:val="004B29DB"/>
    <w:rsid w:val="004B2FAD"/>
    <w:rsid w:val="004B3846"/>
    <w:rsid w:val="004B3DE9"/>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2C4A"/>
    <w:rsid w:val="004C2FBF"/>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4BE7"/>
    <w:rsid w:val="004D53BB"/>
    <w:rsid w:val="004D5965"/>
    <w:rsid w:val="004D5CAB"/>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6FD5"/>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186B"/>
    <w:rsid w:val="0050214C"/>
    <w:rsid w:val="005027FE"/>
    <w:rsid w:val="0050367C"/>
    <w:rsid w:val="005036E3"/>
    <w:rsid w:val="00503843"/>
    <w:rsid w:val="0050393E"/>
    <w:rsid w:val="00503C4E"/>
    <w:rsid w:val="00503EC2"/>
    <w:rsid w:val="00503FE2"/>
    <w:rsid w:val="005044C8"/>
    <w:rsid w:val="005047C1"/>
    <w:rsid w:val="00505AE9"/>
    <w:rsid w:val="00505E98"/>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6E0E"/>
    <w:rsid w:val="00527626"/>
    <w:rsid w:val="00527682"/>
    <w:rsid w:val="00530AA4"/>
    <w:rsid w:val="00531AC1"/>
    <w:rsid w:val="00531BF4"/>
    <w:rsid w:val="005328F0"/>
    <w:rsid w:val="005332D4"/>
    <w:rsid w:val="00533703"/>
    <w:rsid w:val="00533AE7"/>
    <w:rsid w:val="00533AEB"/>
    <w:rsid w:val="00533BE5"/>
    <w:rsid w:val="005342E4"/>
    <w:rsid w:val="0053447D"/>
    <w:rsid w:val="00534B33"/>
    <w:rsid w:val="00534B59"/>
    <w:rsid w:val="00534BE9"/>
    <w:rsid w:val="0053562F"/>
    <w:rsid w:val="00535A0B"/>
    <w:rsid w:val="00535E90"/>
    <w:rsid w:val="0053642F"/>
    <w:rsid w:val="00536759"/>
    <w:rsid w:val="00536904"/>
    <w:rsid w:val="00536B96"/>
    <w:rsid w:val="00537303"/>
    <w:rsid w:val="00537399"/>
    <w:rsid w:val="0053753A"/>
    <w:rsid w:val="005375D2"/>
    <w:rsid w:val="0053761F"/>
    <w:rsid w:val="00537C62"/>
    <w:rsid w:val="00537EE2"/>
    <w:rsid w:val="00537FD9"/>
    <w:rsid w:val="005401C1"/>
    <w:rsid w:val="00540DD1"/>
    <w:rsid w:val="00540E62"/>
    <w:rsid w:val="00540F99"/>
    <w:rsid w:val="0054101C"/>
    <w:rsid w:val="00541A9B"/>
    <w:rsid w:val="00541C62"/>
    <w:rsid w:val="005426A6"/>
    <w:rsid w:val="0054286D"/>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54A"/>
    <w:rsid w:val="00551D13"/>
    <w:rsid w:val="00551EF7"/>
    <w:rsid w:val="005520C3"/>
    <w:rsid w:val="0055211B"/>
    <w:rsid w:val="005527BD"/>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65D"/>
    <w:rsid w:val="0057074A"/>
    <w:rsid w:val="00570991"/>
    <w:rsid w:val="005709BC"/>
    <w:rsid w:val="00570C3D"/>
    <w:rsid w:val="00571034"/>
    <w:rsid w:val="00571D01"/>
    <w:rsid w:val="00572065"/>
    <w:rsid w:val="00572505"/>
    <w:rsid w:val="00572612"/>
    <w:rsid w:val="005727E5"/>
    <w:rsid w:val="00572EAB"/>
    <w:rsid w:val="00573434"/>
    <w:rsid w:val="00573BBD"/>
    <w:rsid w:val="00573C73"/>
    <w:rsid w:val="0057498C"/>
    <w:rsid w:val="00574E79"/>
    <w:rsid w:val="005753F6"/>
    <w:rsid w:val="00575952"/>
    <w:rsid w:val="00575BF4"/>
    <w:rsid w:val="005764D3"/>
    <w:rsid w:val="0057685C"/>
    <w:rsid w:val="00576A80"/>
    <w:rsid w:val="00576C96"/>
    <w:rsid w:val="0057714A"/>
    <w:rsid w:val="00577371"/>
    <w:rsid w:val="00577B53"/>
    <w:rsid w:val="0058069E"/>
    <w:rsid w:val="005809C0"/>
    <w:rsid w:val="00580C8D"/>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52A"/>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BC1"/>
    <w:rsid w:val="00596CA7"/>
    <w:rsid w:val="0059779B"/>
    <w:rsid w:val="0059781F"/>
    <w:rsid w:val="0059785E"/>
    <w:rsid w:val="00597898"/>
    <w:rsid w:val="00597EA2"/>
    <w:rsid w:val="00597FAD"/>
    <w:rsid w:val="00597FB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A77A6"/>
    <w:rsid w:val="005B0500"/>
    <w:rsid w:val="005B07C5"/>
    <w:rsid w:val="005B08AD"/>
    <w:rsid w:val="005B1294"/>
    <w:rsid w:val="005B12FC"/>
    <w:rsid w:val="005B1325"/>
    <w:rsid w:val="005B1DF8"/>
    <w:rsid w:val="005B1F3E"/>
    <w:rsid w:val="005B1FDE"/>
    <w:rsid w:val="005B2215"/>
    <w:rsid w:val="005B26EB"/>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5B33"/>
    <w:rsid w:val="005D6D17"/>
    <w:rsid w:val="005D71E8"/>
    <w:rsid w:val="005D7C4B"/>
    <w:rsid w:val="005E0144"/>
    <w:rsid w:val="005E0410"/>
    <w:rsid w:val="005E05AF"/>
    <w:rsid w:val="005E100A"/>
    <w:rsid w:val="005E1367"/>
    <w:rsid w:val="005E18F7"/>
    <w:rsid w:val="005E21D3"/>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715C"/>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756"/>
    <w:rsid w:val="00603C7E"/>
    <w:rsid w:val="00603FB1"/>
    <w:rsid w:val="00604093"/>
    <w:rsid w:val="0060466E"/>
    <w:rsid w:val="00604AE6"/>
    <w:rsid w:val="00604B9D"/>
    <w:rsid w:val="00604C51"/>
    <w:rsid w:val="00604CDD"/>
    <w:rsid w:val="00604F14"/>
    <w:rsid w:val="00605A38"/>
    <w:rsid w:val="00605E57"/>
    <w:rsid w:val="00606A43"/>
    <w:rsid w:val="00606A67"/>
    <w:rsid w:val="00606AE5"/>
    <w:rsid w:val="00606AFA"/>
    <w:rsid w:val="00606E85"/>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C56"/>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782"/>
    <w:rsid w:val="00627913"/>
    <w:rsid w:val="00627959"/>
    <w:rsid w:val="00627FCF"/>
    <w:rsid w:val="00630001"/>
    <w:rsid w:val="006309A8"/>
    <w:rsid w:val="00631196"/>
    <w:rsid w:val="006311B3"/>
    <w:rsid w:val="00631E71"/>
    <w:rsid w:val="00631F94"/>
    <w:rsid w:val="0063222C"/>
    <w:rsid w:val="0063231B"/>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0E20"/>
    <w:rsid w:val="00641034"/>
    <w:rsid w:val="0064151F"/>
    <w:rsid w:val="00641533"/>
    <w:rsid w:val="006415A0"/>
    <w:rsid w:val="006419F0"/>
    <w:rsid w:val="0064208D"/>
    <w:rsid w:val="00642303"/>
    <w:rsid w:val="00642793"/>
    <w:rsid w:val="00643005"/>
    <w:rsid w:val="00643475"/>
    <w:rsid w:val="0064396A"/>
    <w:rsid w:val="00643D5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0C00"/>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94D"/>
    <w:rsid w:val="00670A06"/>
    <w:rsid w:val="00670AB7"/>
    <w:rsid w:val="00670BE1"/>
    <w:rsid w:val="00670DDA"/>
    <w:rsid w:val="006712F4"/>
    <w:rsid w:val="00671FE6"/>
    <w:rsid w:val="0067218F"/>
    <w:rsid w:val="00672B41"/>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62E"/>
    <w:rsid w:val="00683C26"/>
    <w:rsid w:val="00683CD1"/>
    <w:rsid w:val="00683DE5"/>
    <w:rsid w:val="00683ECE"/>
    <w:rsid w:val="00684318"/>
    <w:rsid w:val="00684F85"/>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505"/>
    <w:rsid w:val="00694D32"/>
    <w:rsid w:val="006950A0"/>
    <w:rsid w:val="00695429"/>
    <w:rsid w:val="00695571"/>
    <w:rsid w:val="00695AC4"/>
    <w:rsid w:val="00695FC2"/>
    <w:rsid w:val="006967F9"/>
    <w:rsid w:val="00696949"/>
    <w:rsid w:val="00697052"/>
    <w:rsid w:val="00697533"/>
    <w:rsid w:val="00697B40"/>
    <w:rsid w:val="00697F6C"/>
    <w:rsid w:val="006A15A7"/>
    <w:rsid w:val="006A160C"/>
    <w:rsid w:val="006A1EA7"/>
    <w:rsid w:val="006A2296"/>
    <w:rsid w:val="006A2AA8"/>
    <w:rsid w:val="006A2BB1"/>
    <w:rsid w:val="006A2E30"/>
    <w:rsid w:val="006A3716"/>
    <w:rsid w:val="006A37AF"/>
    <w:rsid w:val="006A3899"/>
    <w:rsid w:val="006A3921"/>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3F2"/>
    <w:rsid w:val="006C192E"/>
    <w:rsid w:val="006C1A56"/>
    <w:rsid w:val="006C2681"/>
    <w:rsid w:val="006C2769"/>
    <w:rsid w:val="006C2899"/>
    <w:rsid w:val="006C2944"/>
    <w:rsid w:val="006C3372"/>
    <w:rsid w:val="006C38B5"/>
    <w:rsid w:val="006C4E75"/>
    <w:rsid w:val="006C512F"/>
    <w:rsid w:val="006C5134"/>
    <w:rsid w:val="006C5377"/>
    <w:rsid w:val="006C59B5"/>
    <w:rsid w:val="006C5CB7"/>
    <w:rsid w:val="006C5E25"/>
    <w:rsid w:val="006C5EC9"/>
    <w:rsid w:val="006C6059"/>
    <w:rsid w:val="006C62E8"/>
    <w:rsid w:val="006C71E1"/>
    <w:rsid w:val="006C7337"/>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321"/>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481"/>
    <w:rsid w:val="006E673D"/>
    <w:rsid w:val="006E6B76"/>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21"/>
    <w:rsid w:val="006F7A44"/>
    <w:rsid w:val="006F7F9C"/>
    <w:rsid w:val="0070040E"/>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E4E"/>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997"/>
    <w:rsid w:val="00721DC4"/>
    <w:rsid w:val="00721FF6"/>
    <w:rsid w:val="007228FB"/>
    <w:rsid w:val="00722A66"/>
    <w:rsid w:val="00723AB7"/>
    <w:rsid w:val="00724773"/>
    <w:rsid w:val="00726AA9"/>
    <w:rsid w:val="00726EA6"/>
    <w:rsid w:val="00727050"/>
    <w:rsid w:val="00727208"/>
    <w:rsid w:val="00727680"/>
    <w:rsid w:val="007278B7"/>
    <w:rsid w:val="00727A04"/>
    <w:rsid w:val="007302B2"/>
    <w:rsid w:val="00730856"/>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20"/>
    <w:rsid w:val="007419D1"/>
    <w:rsid w:val="00741DF6"/>
    <w:rsid w:val="00742542"/>
    <w:rsid w:val="00743D69"/>
    <w:rsid w:val="007445A0"/>
    <w:rsid w:val="0074465C"/>
    <w:rsid w:val="0074524B"/>
    <w:rsid w:val="00745613"/>
    <w:rsid w:val="007459D6"/>
    <w:rsid w:val="00745CB4"/>
    <w:rsid w:val="00745D64"/>
    <w:rsid w:val="00745FA6"/>
    <w:rsid w:val="00746017"/>
    <w:rsid w:val="00746A90"/>
    <w:rsid w:val="00746CF5"/>
    <w:rsid w:val="00746EEC"/>
    <w:rsid w:val="007479F5"/>
    <w:rsid w:val="00747D8B"/>
    <w:rsid w:val="007505A2"/>
    <w:rsid w:val="00750EAB"/>
    <w:rsid w:val="00751228"/>
    <w:rsid w:val="00751268"/>
    <w:rsid w:val="00751431"/>
    <w:rsid w:val="00751589"/>
    <w:rsid w:val="00751661"/>
    <w:rsid w:val="00751920"/>
    <w:rsid w:val="00751C59"/>
    <w:rsid w:val="0075414C"/>
    <w:rsid w:val="007549A3"/>
    <w:rsid w:val="007549B0"/>
    <w:rsid w:val="00754CB4"/>
    <w:rsid w:val="00754CF8"/>
    <w:rsid w:val="00755303"/>
    <w:rsid w:val="00755D2D"/>
    <w:rsid w:val="00755F2D"/>
    <w:rsid w:val="00755F76"/>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8E0"/>
    <w:rsid w:val="00773962"/>
    <w:rsid w:val="00774CC3"/>
    <w:rsid w:val="00774F62"/>
    <w:rsid w:val="007755F2"/>
    <w:rsid w:val="00775FAF"/>
    <w:rsid w:val="007764D1"/>
    <w:rsid w:val="0077658D"/>
    <w:rsid w:val="00776971"/>
    <w:rsid w:val="00776B2C"/>
    <w:rsid w:val="00777630"/>
    <w:rsid w:val="0077777F"/>
    <w:rsid w:val="00780276"/>
    <w:rsid w:val="007803DF"/>
    <w:rsid w:val="00780A35"/>
    <w:rsid w:val="00780FD1"/>
    <w:rsid w:val="007814A9"/>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903"/>
    <w:rsid w:val="00793998"/>
    <w:rsid w:val="00793CD8"/>
    <w:rsid w:val="00793DA7"/>
    <w:rsid w:val="00793E38"/>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268"/>
    <w:rsid w:val="007B091A"/>
    <w:rsid w:val="007B1731"/>
    <w:rsid w:val="007B19BD"/>
    <w:rsid w:val="007B1D4D"/>
    <w:rsid w:val="007B1FC0"/>
    <w:rsid w:val="007B1FF3"/>
    <w:rsid w:val="007B23D7"/>
    <w:rsid w:val="007B2B62"/>
    <w:rsid w:val="007B3D2D"/>
    <w:rsid w:val="007B4B5D"/>
    <w:rsid w:val="007B4F48"/>
    <w:rsid w:val="007B50AE"/>
    <w:rsid w:val="007B51DF"/>
    <w:rsid w:val="007B57C8"/>
    <w:rsid w:val="007B5F0E"/>
    <w:rsid w:val="007B6203"/>
    <w:rsid w:val="007B7000"/>
    <w:rsid w:val="007C02F0"/>
    <w:rsid w:val="007C0459"/>
    <w:rsid w:val="007C05DD"/>
    <w:rsid w:val="007C0B45"/>
    <w:rsid w:val="007C0C3F"/>
    <w:rsid w:val="007C0F3C"/>
    <w:rsid w:val="007C1426"/>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18"/>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251"/>
    <w:rsid w:val="007D5901"/>
    <w:rsid w:val="007D59D2"/>
    <w:rsid w:val="007D5C78"/>
    <w:rsid w:val="007D69A6"/>
    <w:rsid w:val="007D74A3"/>
    <w:rsid w:val="007D7526"/>
    <w:rsid w:val="007D789F"/>
    <w:rsid w:val="007D7EB9"/>
    <w:rsid w:val="007E0972"/>
    <w:rsid w:val="007E09B9"/>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373"/>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763"/>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0A1E"/>
    <w:rsid w:val="00811DE7"/>
    <w:rsid w:val="00811FCB"/>
    <w:rsid w:val="00812033"/>
    <w:rsid w:val="00812B39"/>
    <w:rsid w:val="00813515"/>
    <w:rsid w:val="00813962"/>
    <w:rsid w:val="00813C32"/>
    <w:rsid w:val="008146E3"/>
    <w:rsid w:val="00814D22"/>
    <w:rsid w:val="0081577D"/>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27E0"/>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29C"/>
    <w:rsid w:val="008315FD"/>
    <w:rsid w:val="00831982"/>
    <w:rsid w:val="00832838"/>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452"/>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A93"/>
    <w:rsid w:val="00852E12"/>
    <w:rsid w:val="00853231"/>
    <w:rsid w:val="00853726"/>
    <w:rsid w:val="008537EC"/>
    <w:rsid w:val="008539C6"/>
    <w:rsid w:val="00853B00"/>
    <w:rsid w:val="00853F44"/>
    <w:rsid w:val="00854DAF"/>
    <w:rsid w:val="00854E42"/>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A2C"/>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977"/>
    <w:rsid w:val="00873F9C"/>
    <w:rsid w:val="00874312"/>
    <w:rsid w:val="0087437A"/>
    <w:rsid w:val="0087437C"/>
    <w:rsid w:val="00874D6E"/>
    <w:rsid w:val="00875061"/>
    <w:rsid w:val="00875478"/>
    <w:rsid w:val="008754C8"/>
    <w:rsid w:val="008755AB"/>
    <w:rsid w:val="00875B5E"/>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87D99"/>
    <w:rsid w:val="008900BD"/>
    <w:rsid w:val="00890D9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68C8"/>
    <w:rsid w:val="00896B4F"/>
    <w:rsid w:val="00897105"/>
    <w:rsid w:val="008974C6"/>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A7C9C"/>
    <w:rsid w:val="008B0483"/>
    <w:rsid w:val="008B0BBC"/>
    <w:rsid w:val="008B0CDD"/>
    <w:rsid w:val="008B1152"/>
    <w:rsid w:val="008B120C"/>
    <w:rsid w:val="008B131B"/>
    <w:rsid w:val="008B166C"/>
    <w:rsid w:val="008B193A"/>
    <w:rsid w:val="008B1A70"/>
    <w:rsid w:val="008B1FED"/>
    <w:rsid w:val="008B25BF"/>
    <w:rsid w:val="008B2966"/>
    <w:rsid w:val="008B32B7"/>
    <w:rsid w:val="008B33EC"/>
    <w:rsid w:val="008B38C1"/>
    <w:rsid w:val="008B391E"/>
    <w:rsid w:val="008B4015"/>
    <w:rsid w:val="008B425E"/>
    <w:rsid w:val="008B4790"/>
    <w:rsid w:val="008B51A0"/>
    <w:rsid w:val="008B592A"/>
    <w:rsid w:val="008B5D9D"/>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13"/>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81"/>
    <w:rsid w:val="008F05E2"/>
    <w:rsid w:val="008F1490"/>
    <w:rsid w:val="008F155C"/>
    <w:rsid w:val="008F17AE"/>
    <w:rsid w:val="008F1EAB"/>
    <w:rsid w:val="008F260D"/>
    <w:rsid w:val="008F27D9"/>
    <w:rsid w:val="008F2975"/>
    <w:rsid w:val="008F2CD0"/>
    <w:rsid w:val="008F2DCC"/>
    <w:rsid w:val="008F33DC"/>
    <w:rsid w:val="008F3964"/>
    <w:rsid w:val="008F4126"/>
    <w:rsid w:val="008F434B"/>
    <w:rsid w:val="008F45F7"/>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578D"/>
    <w:rsid w:val="00916079"/>
    <w:rsid w:val="00916264"/>
    <w:rsid w:val="00916278"/>
    <w:rsid w:val="0091632F"/>
    <w:rsid w:val="00916AD6"/>
    <w:rsid w:val="00917087"/>
    <w:rsid w:val="00917787"/>
    <w:rsid w:val="00917CE9"/>
    <w:rsid w:val="00920072"/>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0A"/>
    <w:rsid w:val="0092747A"/>
    <w:rsid w:val="00927496"/>
    <w:rsid w:val="0092764F"/>
    <w:rsid w:val="009308A8"/>
    <w:rsid w:val="00930B55"/>
    <w:rsid w:val="00930C4C"/>
    <w:rsid w:val="00931BD9"/>
    <w:rsid w:val="00931BE4"/>
    <w:rsid w:val="0093247F"/>
    <w:rsid w:val="00932934"/>
    <w:rsid w:val="00933153"/>
    <w:rsid w:val="009331CC"/>
    <w:rsid w:val="0093334C"/>
    <w:rsid w:val="00933488"/>
    <w:rsid w:val="00933F2E"/>
    <w:rsid w:val="00934094"/>
    <w:rsid w:val="009341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3F6C"/>
    <w:rsid w:val="009440C6"/>
    <w:rsid w:val="009447CB"/>
    <w:rsid w:val="00944DD8"/>
    <w:rsid w:val="0094541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20A"/>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CAD"/>
    <w:rsid w:val="00972FAD"/>
    <w:rsid w:val="00973346"/>
    <w:rsid w:val="00973A06"/>
    <w:rsid w:val="00973EAF"/>
    <w:rsid w:val="009742BB"/>
    <w:rsid w:val="00974B94"/>
    <w:rsid w:val="00974D28"/>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4EF"/>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34B"/>
    <w:rsid w:val="009A462D"/>
    <w:rsid w:val="009A4FB2"/>
    <w:rsid w:val="009A4FE2"/>
    <w:rsid w:val="009A5691"/>
    <w:rsid w:val="009A571B"/>
    <w:rsid w:val="009A5C7C"/>
    <w:rsid w:val="009A5CBA"/>
    <w:rsid w:val="009A5DC5"/>
    <w:rsid w:val="009A5EDE"/>
    <w:rsid w:val="009A63F5"/>
    <w:rsid w:val="009A7823"/>
    <w:rsid w:val="009B093A"/>
    <w:rsid w:val="009B109F"/>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1FB9"/>
    <w:rsid w:val="009C25C6"/>
    <w:rsid w:val="009C2B21"/>
    <w:rsid w:val="009C3911"/>
    <w:rsid w:val="009C3976"/>
    <w:rsid w:val="009C39E6"/>
    <w:rsid w:val="009C3B62"/>
    <w:rsid w:val="009C3E63"/>
    <w:rsid w:val="009C3EB2"/>
    <w:rsid w:val="009C403E"/>
    <w:rsid w:val="009C4199"/>
    <w:rsid w:val="009C55F1"/>
    <w:rsid w:val="009C6EE9"/>
    <w:rsid w:val="009C7F11"/>
    <w:rsid w:val="009D03B6"/>
    <w:rsid w:val="009D052A"/>
    <w:rsid w:val="009D09EA"/>
    <w:rsid w:val="009D1F74"/>
    <w:rsid w:val="009D24EC"/>
    <w:rsid w:val="009D2519"/>
    <w:rsid w:val="009D2687"/>
    <w:rsid w:val="009D2775"/>
    <w:rsid w:val="009D28D3"/>
    <w:rsid w:val="009D28E5"/>
    <w:rsid w:val="009D32E5"/>
    <w:rsid w:val="009D32EB"/>
    <w:rsid w:val="009D32F3"/>
    <w:rsid w:val="009D33A5"/>
    <w:rsid w:val="009D4330"/>
    <w:rsid w:val="009D4787"/>
    <w:rsid w:val="009D47B5"/>
    <w:rsid w:val="009D4FF0"/>
    <w:rsid w:val="009D5380"/>
    <w:rsid w:val="009D683D"/>
    <w:rsid w:val="009D6B4B"/>
    <w:rsid w:val="009D6D35"/>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44D"/>
    <w:rsid w:val="009E6629"/>
    <w:rsid w:val="009E6B5E"/>
    <w:rsid w:val="009E6C41"/>
    <w:rsid w:val="009E765B"/>
    <w:rsid w:val="009F0262"/>
    <w:rsid w:val="009F049C"/>
    <w:rsid w:val="009F08F3"/>
    <w:rsid w:val="009F1098"/>
    <w:rsid w:val="009F152B"/>
    <w:rsid w:val="009F17B9"/>
    <w:rsid w:val="009F1882"/>
    <w:rsid w:val="009F2165"/>
    <w:rsid w:val="009F21BD"/>
    <w:rsid w:val="009F2293"/>
    <w:rsid w:val="009F2DC6"/>
    <w:rsid w:val="009F30D2"/>
    <w:rsid w:val="009F3143"/>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446"/>
    <w:rsid w:val="00A03636"/>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635"/>
    <w:rsid w:val="00A17F63"/>
    <w:rsid w:val="00A17F89"/>
    <w:rsid w:val="00A20DE3"/>
    <w:rsid w:val="00A212A7"/>
    <w:rsid w:val="00A21614"/>
    <w:rsid w:val="00A216D9"/>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C57"/>
    <w:rsid w:val="00A37DB3"/>
    <w:rsid w:val="00A37FA0"/>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1F2A"/>
    <w:rsid w:val="00A525B7"/>
    <w:rsid w:val="00A52BC1"/>
    <w:rsid w:val="00A52E1D"/>
    <w:rsid w:val="00A536E5"/>
    <w:rsid w:val="00A538A6"/>
    <w:rsid w:val="00A53EF4"/>
    <w:rsid w:val="00A54432"/>
    <w:rsid w:val="00A54646"/>
    <w:rsid w:val="00A55940"/>
    <w:rsid w:val="00A55DAD"/>
    <w:rsid w:val="00A564CE"/>
    <w:rsid w:val="00A56673"/>
    <w:rsid w:val="00A56786"/>
    <w:rsid w:val="00A56BAD"/>
    <w:rsid w:val="00A573FC"/>
    <w:rsid w:val="00A57A87"/>
    <w:rsid w:val="00A57B16"/>
    <w:rsid w:val="00A57BE4"/>
    <w:rsid w:val="00A57DFA"/>
    <w:rsid w:val="00A6033E"/>
    <w:rsid w:val="00A603E7"/>
    <w:rsid w:val="00A609C8"/>
    <w:rsid w:val="00A60A59"/>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CD"/>
    <w:rsid w:val="00A747DC"/>
    <w:rsid w:val="00A74E20"/>
    <w:rsid w:val="00A7588F"/>
    <w:rsid w:val="00A761D4"/>
    <w:rsid w:val="00A762ED"/>
    <w:rsid w:val="00A76437"/>
    <w:rsid w:val="00A76C56"/>
    <w:rsid w:val="00A76C72"/>
    <w:rsid w:val="00A77B05"/>
    <w:rsid w:val="00A77EC4"/>
    <w:rsid w:val="00A8000B"/>
    <w:rsid w:val="00A804BA"/>
    <w:rsid w:val="00A80A63"/>
    <w:rsid w:val="00A80BDE"/>
    <w:rsid w:val="00A80C32"/>
    <w:rsid w:val="00A80CCB"/>
    <w:rsid w:val="00A810A3"/>
    <w:rsid w:val="00A81835"/>
    <w:rsid w:val="00A81AB1"/>
    <w:rsid w:val="00A82240"/>
    <w:rsid w:val="00A82583"/>
    <w:rsid w:val="00A82797"/>
    <w:rsid w:val="00A82F5F"/>
    <w:rsid w:val="00A83137"/>
    <w:rsid w:val="00A83982"/>
    <w:rsid w:val="00A84601"/>
    <w:rsid w:val="00A84C54"/>
    <w:rsid w:val="00A859DE"/>
    <w:rsid w:val="00A85C17"/>
    <w:rsid w:val="00A85C61"/>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710"/>
    <w:rsid w:val="00A94A03"/>
    <w:rsid w:val="00A94A67"/>
    <w:rsid w:val="00A94FF7"/>
    <w:rsid w:val="00A95A61"/>
    <w:rsid w:val="00A95CEB"/>
    <w:rsid w:val="00A970CD"/>
    <w:rsid w:val="00A9747B"/>
    <w:rsid w:val="00A97626"/>
    <w:rsid w:val="00A97748"/>
    <w:rsid w:val="00A9782A"/>
    <w:rsid w:val="00A978AB"/>
    <w:rsid w:val="00A97A0D"/>
    <w:rsid w:val="00A97FA7"/>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1D9"/>
    <w:rsid w:val="00AB0362"/>
    <w:rsid w:val="00AB04DF"/>
    <w:rsid w:val="00AB0780"/>
    <w:rsid w:val="00AB094D"/>
    <w:rsid w:val="00AB0BC8"/>
    <w:rsid w:val="00AB11CA"/>
    <w:rsid w:val="00AB1354"/>
    <w:rsid w:val="00AB14D9"/>
    <w:rsid w:val="00AB15C7"/>
    <w:rsid w:val="00AB165E"/>
    <w:rsid w:val="00AB17E3"/>
    <w:rsid w:val="00AB1A46"/>
    <w:rsid w:val="00AB1AEC"/>
    <w:rsid w:val="00AB1E2A"/>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BEF"/>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C6A8E"/>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7BC"/>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49E"/>
    <w:rsid w:val="00B10527"/>
    <w:rsid w:val="00B105EA"/>
    <w:rsid w:val="00B107DB"/>
    <w:rsid w:val="00B1097A"/>
    <w:rsid w:val="00B10CC2"/>
    <w:rsid w:val="00B110F3"/>
    <w:rsid w:val="00B1117D"/>
    <w:rsid w:val="00B11932"/>
    <w:rsid w:val="00B11B06"/>
    <w:rsid w:val="00B12391"/>
    <w:rsid w:val="00B129D8"/>
    <w:rsid w:val="00B12D8E"/>
    <w:rsid w:val="00B13B12"/>
    <w:rsid w:val="00B13CC2"/>
    <w:rsid w:val="00B13D78"/>
    <w:rsid w:val="00B13E78"/>
    <w:rsid w:val="00B140C4"/>
    <w:rsid w:val="00B14861"/>
    <w:rsid w:val="00B14AB4"/>
    <w:rsid w:val="00B14C38"/>
    <w:rsid w:val="00B15110"/>
    <w:rsid w:val="00B151D9"/>
    <w:rsid w:val="00B152FB"/>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3E3"/>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7A5"/>
    <w:rsid w:val="00B30929"/>
    <w:rsid w:val="00B30A3C"/>
    <w:rsid w:val="00B30CC1"/>
    <w:rsid w:val="00B30E60"/>
    <w:rsid w:val="00B30EEB"/>
    <w:rsid w:val="00B3144C"/>
    <w:rsid w:val="00B31B52"/>
    <w:rsid w:val="00B32566"/>
    <w:rsid w:val="00B325C2"/>
    <w:rsid w:val="00B32FD6"/>
    <w:rsid w:val="00B331C9"/>
    <w:rsid w:val="00B33588"/>
    <w:rsid w:val="00B3358C"/>
    <w:rsid w:val="00B340D1"/>
    <w:rsid w:val="00B34D20"/>
    <w:rsid w:val="00B34F09"/>
    <w:rsid w:val="00B35731"/>
    <w:rsid w:val="00B35C7D"/>
    <w:rsid w:val="00B35FE2"/>
    <w:rsid w:val="00B361B0"/>
    <w:rsid w:val="00B36618"/>
    <w:rsid w:val="00B369B4"/>
    <w:rsid w:val="00B36DBC"/>
    <w:rsid w:val="00B3702E"/>
    <w:rsid w:val="00B372AA"/>
    <w:rsid w:val="00B37842"/>
    <w:rsid w:val="00B37D46"/>
    <w:rsid w:val="00B40445"/>
    <w:rsid w:val="00B41888"/>
    <w:rsid w:val="00B41DF2"/>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0EC"/>
    <w:rsid w:val="00B506F0"/>
    <w:rsid w:val="00B50DE2"/>
    <w:rsid w:val="00B51B64"/>
    <w:rsid w:val="00B51C5B"/>
    <w:rsid w:val="00B51DCB"/>
    <w:rsid w:val="00B523CA"/>
    <w:rsid w:val="00B5264D"/>
    <w:rsid w:val="00B53C42"/>
    <w:rsid w:val="00B54010"/>
    <w:rsid w:val="00B54593"/>
    <w:rsid w:val="00B54A56"/>
    <w:rsid w:val="00B54EE3"/>
    <w:rsid w:val="00B556DB"/>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21C"/>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3B40"/>
    <w:rsid w:val="00B841D5"/>
    <w:rsid w:val="00B84270"/>
    <w:rsid w:val="00B844D5"/>
    <w:rsid w:val="00B84D07"/>
    <w:rsid w:val="00B854B9"/>
    <w:rsid w:val="00B856DA"/>
    <w:rsid w:val="00B858CB"/>
    <w:rsid w:val="00B85DE5"/>
    <w:rsid w:val="00B85EC9"/>
    <w:rsid w:val="00B861DF"/>
    <w:rsid w:val="00B86433"/>
    <w:rsid w:val="00B879FC"/>
    <w:rsid w:val="00B87CA9"/>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9B7"/>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45A"/>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4"/>
    <w:rsid w:val="00BA6F96"/>
    <w:rsid w:val="00BA76E0"/>
    <w:rsid w:val="00BA7716"/>
    <w:rsid w:val="00BA7D15"/>
    <w:rsid w:val="00BA7E5E"/>
    <w:rsid w:val="00BB0292"/>
    <w:rsid w:val="00BB0885"/>
    <w:rsid w:val="00BB0C50"/>
    <w:rsid w:val="00BB179D"/>
    <w:rsid w:val="00BB27EF"/>
    <w:rsid w:val="00BB2857"/>
    <w:rsid w:val="00BB2A25"/>
    <w:rsid w:val="00BB2A31"/>
    <w:rsid w:val="00BB30AE"/>
    <w:rsid w:val="00BB398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1B17"/>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1C7"/>
    <w:rsid w:val="00BE2534"/>
    <w:rsid w:val="00BE2C14"/>
    <w:rsid w:val="00BE2CE3"/>
    <w:rsid w:val="00BE2FA6"/>
    <w:rsid w:val="00BE317C"/>
    <w:rsid w:val="00BE333F"/>
    <w:rsid w:val="00BE4330"/>
    <w:rsid w:val="00BE43C6"/>
    <w:rsid w:val="00BE467A"/>
    <w:rsid w:val="00BE4882"/>
    <w:rsid w:val="00BE52DC"/>
    <w:rsid w:val="00BE5B3D"/>
    <w:rsid w:val="00BE5D1A"/>
    <w:rsid w:val="00BE5EB4"/>
    <w:rsid w:val="00BE6AB1"/>
    <w:rsid w:val="00BE7406"/>
    <w:rsid w:val="00BE7603"/>
    <w:rsid w:val="00BE7B2A"/>
    <w:rsid w:val="00BF040A"/>
    <w:rsid w:val="00BF08BC"/>
    <w:rsid w:val="00BF11CE"/>
    <w:rsid w:val="00BF228C"/>
    <w:rsid w:val="00BF2D7C"/>
    <w:rsid w:val="00BF3279"/>
    <w:rsid w:val="00BF3427"/>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D3A"/>
    <w:rsid w:val="00C01EC9"/>
    <w:rsid w:val="00C01F33"/>
    <w:rsid w:val="00C02752"/>
    <w:rsid w:val="00C0288D"/>
    <w:rsid w:val="00C02CC6"/>
    <w:rsid w:val="00C02F1E"/>
    <w:rsid w:val="00C03049"/>
    <w:rsid w:val="00C03634"/>
    <w:rsid w:val="00C038F2"/>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19"/>
    <w:rsid w:val="00C1394F"/>
    <w:rsid w:val="00C13B04"/>
    <w:rsid w:val="00C14031"/>
    <w:rsid w:val="00C142BC"/>
    <w:rsid w:val="00C14CB9"/>
    <w:rsid w:val="00C14D4B"/>
    <w:rsid w:val="00C150DA"/>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686"/>
    <w:rsid w:val="00C2377E"/>
    <w:rsid w:val="00C23BE3"/>
    <w:rsid w:val="00C23DE5"/>
    <w:rsid w:val="00C240FF"/>
    <w:rsid w:val="00C24C77"/>
    <w:rsid w:val="00C2561A"/>
    <w:rsid w:val="00C25765"/>
    <w:rsid w:val="00C25A71"/>
    <w:rsid w:val="00C25F66"/>
    <w:rsid w:val="00C26229"/>
    <w:rsid w:val="00C26554"/>
    <w:rsid w:val="00C265F8"/>
    <w:rsid w:val="00C267B1"/>
    <w:rsid w:val="00C27075"/>
    <w:rsid w:val="00C278C0"/>
    <w:rsid w:val="00C279B5"/>
    <w:rsid w:val="00C27B90"/>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754"/>
    <w:rsid w:val="00C37B6C"/>
    <w:rsid w:val="00C40223"/>
    <w:rsid w:val="00C4049F"/>
    <w:rsid w:val="00C406EE"/>
    <w:rsid w:val="00C40A63"/>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4E93"/>
    <w:rsid w:val="00C551A8"/>
    <w:rsid w:val="00C558AD"/>
    <w:rsid w:val="00C55D7F"/>
    <w:rsid w:val="00C5769A"/>
    <w:rsid w:val="00C60783"/>
    <w:rsid w:val="00C60AFC"/>
    <w:rsid w:val="00C610B7"/>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B3"/>
    <w:rsid w:val="00C66EC0"/>
    <w:rsid w:val="00C67B1D"/>
    <w:rsid w:val="00C67B4F"/>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892"/>
    <w:rsid w:val="00C75986"/>
    <w:rsid w:val="00C75B82"/>
    <w:rsid w:val="00C75D2F"/>
    <w:rsid w:val="00C76101"/>
    <w:rsid w:val="00C76413"/>
    <w:rsid w:val="00C767BE"/>
    <w:rsid w:val="00C7693E"/>
    <w:rsid w:val="00C76D19"/>
    <w:rsid w:val="00C76E1A"/>
    <w:rsid w:val="00C76E3C"/>
    <w:rsid w:val="00C771C9"/>
    <w:rsid w:val="00C8023D"/>
    <w:rsid w:val="00C80707"/>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2520"/>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0A14"/>
    <w:rsid w:val="00CA13C2"/>
    <w:rsid w:val="00CA18DB"/>
    <w:rsid w:val="00CA1C77"/>
    <w:rsid w:val="00CA1ED8"/>
    <w:rsid w:val="00CA20C5"/>
    <w:rsid w:val="00CA269F"/>
    <w:rsid w:val="00CA2F1E"/>
    <w:rsid w:val="00CA371B"/>
    <w:rsid w:val="00CA3CE2"/>
    <w:rsid w:val="00CA3DFB"/>
    <w:rsid w:val="00CA44EE"/>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231B"/>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65F"/>
    <w:rsid w:val="00CC2D32"/>
    <w:rsid w:val="00CC37FD"/>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73C"/>
    <w:rsid w:val="00CF4865"/>
    <w:rsid w:val="00CF487F"/>
    <w:rsid w:val="00CF5530"/>
    <w:rsid w:val="00CF59F3"/>
    <w:rsid w:val="00CF625B"/>
    <w:rsid w:val="00CF6729"/>
    <w:rsid w:val="00CF687E"/>
    <w:rsid w:val="00CF7078"/>
    <w:rsid w:val="00CF7494"/>
    <w:rsid w:val="00CF75E2"/>
    <w:rsid w:val="00CF7883"/>
    <w:rsid w:val="00D00BAB"/>
    <w:rsid w:val="00D01A03"/>
    <w:rsid w:val="00D02D42"/>
    <w:rsid w:val="00D02D66"/>
    <w:rsid w:val="00D030AC"/>
    <w:rsid w:val="00D0349B"/>
    <w:rsid w:val="00D0363C"/>
    <w:rsid w:val="00D03D0E"/>
    <w:rsid w:val="00D0420D"/>
    <w:rsid w:val="00D04660"/>
    <w:rsid w:val="00D05191"/>
    <w:rsid w:val="00D059A5"/>
    <w:rsid w:val="00D05B93"/>
    <w:rsid w:val="00D05D38"/>
    <w:rsid w:val="00D06137"/>
    <w:rsid w:val="00D0643A"/>
    <w:rsid w:val="00D06960"/>
    <w:rsid w:val="00D06F25"/>
    <w:rsid w:val="00D06F74"/>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38"/>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27B69"/>
    <w:rsid w:val="00D30315"/>
    <w:rsid w:val="00D30318"/>
    <w:rsid w:val="00D3056C"/>
    <w:rsid w:val="00D30B1B"/>
    <w:rsid w:val="00D3147A"/>
    <w:rsid w:val="00D320B1"/>
    <w:rsid w:val="00D3278E"/>
    <w:rsid w:val="00D32BA4"/>
    <w:rsid w:val="00D336A3"/>
    <w:rsid w:val="00D33D02"/>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1D9"/>
    <w:rsid w:val="00D41A29"/>
    <w:rsid w:val="00D42372"/>
    <w:rsid w:val="00D42615"/>
    <w:rsid w:val="00D42D8A"/>
    <w:rsid w:val="00D42DAF"/>
    <w:rsid w:val="00D43152"/>
    <w:rsid w:val="00D4318F"/>
    <w:rsid w:val="00D43741"/>
    <w:rsid w:val="00D438BF"/>
    <w:rsid w:val="00D4399F"/>
    <w:rsid w:val="00D440F8"/>
    <w:rsid w:val="00D4420B"/>
    <w:rsid w:val="00D44253"/>
    <w:rsid w:val="00D44444"/>
    <w:rsid w:val="00D44AEB"/>
    <w:rsid w:val="00D44F3C"/>
    <w:rsid w:val="00D45074"/>
    <w:rsid w:val="00D45608"/>
    <w:rsid w:val="00D4567F"/>
    <w:rsid w:val="00D45A59"/>
    <w:rsid w:val="00D45C10"/>
    <w:rsid w:val="00D45EBC"/>
    <w:rsid w:val="00D46219"/>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076"/>
    <w:rsid w:val="00D60132"/>
    <w:rsid w:val="00D6014F"/>
    <w:rsid w:val="00D601B2"/>
    <w:rsid w:val="00D60790"/>
    <w:rsid w:val="00D614C1"/>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0D75"/>
    <w:rsid w:val="00DA10B5"/>
    <w:rsid w:val="00DA1146"/>
    <w:rsid w:val="00DA2211"/>
    <w:rsid w:val="00DA2D1C"/>
    <w:rsid w:val="00DA305E"/>
    <w:rsid w:val="00DA30E7"/>
    <w:rsid w:val="00DA3D32"/>
    <w:rsid w:val="00DA3D55"/>
    <w:rsid w:val="00DA4168"/>
    <w:rsid w:val="00DA419D"/>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038"/>
    <w:rsid w:val="00DB19CC"/>
    <w:rsid w:val="00DB1A5D"/>
    <w:rsid w:val="00DB1F87"/>
    <w:rsid w:val="00DB224D"/>
    <w:rsid w:val="00DB241F"/>
    <w:rsid w:val="00DB2854"/>
    <w:rsid w:val="00DB377D"/>
    <w:rsid w:val="00DB69F1"/>
    <w:rsid w:val="00DB6EBC"/>
    <w:rsid w:val="00DB71D8"/>
    <w:rsid w:val="00DB76D9"/>
    <w:rsid w:val="00DB7E14"/>
    <w:rsid w:val="00DC0032"/>
    <w:rsid w:val="00DC0387"/>
    <w:rsid w:val="00DC0462"/>
    <w:rsid w:val="00DC0D1C"/>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AA1"/>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B9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15"/>
    <w:rsid w:val="00DF6B3C"/>
    <w:rsid w:val="00DF756F"/>
    <w:rsid w:val="00DF7641"/>
    <w:rsid w:val="00DF7A84"/>
    <w:rsid w:val="00E008AF"/>
    <w:rsid w:val="00E00AD4"/>
    <w:rsid w:val="00E00CC3"/>
    <w:rsid w:val="00E00DA1"/>
    <w:rsid w:val="00E01756"/>
    <w:rsid w:val="00E01820"/>
    <w:rsid w:val="00E01925"/>
    <w:rsid w:val="00E02238"/>
    <w:rsid w:val="00E0324B"/>
    <w:rsid w:val="00E03488"/>
    <w:rsid w:val="00E04531"/>
    <w:rsid w:val="00E04614"/>
    <w:rsid w:val="00E0471B"/>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5D8"/>
    <w:rsid w:val="00E15CAB"/>
    <w:rsid w:val="00E15E0C"/>
    <w:rsid w:val="00E1654F"/>
    <w:rsid w:val="00E16E47"/>
    <w:rsid w:val="00E16F9A"/>
    <w:rsid w:val="00E17006"/>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BE7"/>
    <w:rsid w:val="00E25C7A"/>
    <w:rsid w:val="00E25FB6"/>
    <w:rsid w:val="00E26138"/>
    <w:rsid w:val="00E261D5"/>
    <w:rsid w:val="00E264DE"/>
    <w:rsid w:val="00E26651"/>
    <w:rsid w:val="00E2666E"/>
    <w:rsid w:val="00E26889"/>
    <w:rsid w:val="00E26B9D"/>
    <w:rsid w:val="00E26CD6"/>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37"/>
    <w:rsid w:val="00E34B6E"/>
    <w:rsid w:val="00E353CF"/>
    <w:rsid w:val="00E35559"/>
    <w:rsid w:val="00E36139"/>
    <w:rsid w:val="00E36C97"/>
    <w:rsid w:val="00E36F62"/>
    <w:rsid w:val="00E36FD6"/>
    <w:rsid w:val="00E3723A"/>
    <w:rsid w:val="00E37860"/>
    <w:rsid w:val="00E37AFE"/>
    <w:rsid w:val="00E37E6D"/>
    <w:rsid w:val="00E40333"/>
    <w:rsid w:val="00E406D9"/>
    <w:rsid w:val="00E41053"/>
    <w:rsid w:val="00E411CF"/>
    <w:rsid w:val="00E412A0"/>
    <w:rsid w:val="00E4144E"/>
    <w:rsid w:val="00E414A2"/>
    <w:rsid w:val="00E41B04"/>
    <w:rsid w:val="00E41D9A"/>
    <w:rsid w:val="00E42441"/>
    <w:rsid w:val="00E42AE1"/>
    <w:rsid w:val="00E42B06"/>
    <w:rsid w:val="00E42B25"/>
    <w:rsid w:val="00E4308C"/>
    <w:rsid w:val="00E430C5"/>
    <w:rsid w:val="00E438E6"/>
    <w:rsid w:val="00E44201"/>
    <w:rsid w:val="00E446F1"/>
    <w:rsid w:val="00E44776"/>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1CA"/>
    <w:rsid w:val="00E56509"/>
    <w:rsid w:val="00E56584"/>
    <w:rsid w:val="00E567A5"/>
    <w:rsid w:val="00E573EF"/>
    <w:rsid w:val="00E574FF"/>
    <w:rsid w:val="00E57565"/>
    <w:rsid w:val="00E57A2A"/>
    <w:rsid w:val="00E57A5B"/>
    <w:rsid w:val="00E60694"/>
    <w:rsid w:val="00E60AD9"/>
    <w:rsid w:val="00E61458"/>
    <w:rsid w:val="00E615B2"/>
    <w:rsid w:val="00E61AC2"/>
    <w:rsid w:val="00E61CDC"/>
    <w:rsid w:val="00E62451"/>
    <w:rsid w:val="00E624EB"/>
    <w:rsid w:val="00E625FC"/>
    <w:rsid w:val="00E626AC"/>
    <w:rsid w:val="00E63838"/>
    <w:rsid w:val="00E64434"/>
    <w:rsid w:val="00E648BD"/>
    <w:rsid w:val="00E658FE"/>
    <w:rsid w:val="00E659C4"/>
    <w:rsid w:val="00E65DE5"/>
    <w:rsid w:val="00E66067"/>
    <w:rsid w:val="00E664D0"/>
    <w:rsid w:val="00E6786B"/>
    <w:rsid w:val="00E67C51"/>
    <w:rsid w:val="00E7035D"/>
    <w:rsid w:val="00E70417"/>
    <w:rsid w:val="00E70C5E"/>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BAD"/>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5356"/>
    <w:rsid w:val="00E96786"/>
    <w:rsid w:val="00E96A62"/>
    <w:rsid w:val="00E96E03"/>
    <w:rsid w:val="00E972B4"/>
    <w:rsid w:val="00E97354"/>
    <w:rsid w:val="00E97E2D"/>
    <w:rsid w:val="00EA0213"/>
    <w:rsid w:val="00EA1688"/>
    <w:rsid w:val="00EA2818"/>
    <w:rsid w:val="00EA2B11"/>
    <w:rsid w:val="00EA2F76"/>
    <w:rsid w:val="00EA391F"/>
    <w:rsid w:val="00EA3A7E"/>
    <w:rsid w:val="00EA3C2A"/>
    <w:rsid w:val="00EA3F0C"/>
    <w:rsid w:val="00EA45FA"/>
    <w:rsid w:val="00EA48F3"/>
    <w:rsid w:val="00EA4C6B"/>
    <w:rsid w:val="00EA5B3A"/>
    <w:rsid w:val="00EA5BFF"/>
    <w:rsid w:val="00EA64C4"/>
    <w:rsid w:val="00EA6624"/>
    <w:rsid w:val="00EA66DB"/>
    <w:rsid w:val="00EA6881"/>
    <w:rsid w:val="00EA6D7D"/>
    <w:rsid w:val="00EA6DED"/>
    <w:rsid w:val="00EA7490"/>
    <w:rsid w:val="00EA77E4"/>
    <w:rsid w:val="00EA7A41"/>
    <w:rsid w:val="00EA7B33"/>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A13"/>
    <w:rsid w:val="00EB5FC0"/>
    <w:rsid w:val="00EB626F"/>
    <w:rsid w:val="00EB62DB"/>
    <w:rsid w:val="00EB6562"/>
    <w:rsid w:val="00EB67E7"/>
    <w:rsid w:val="00EB696E"/>
    <w:rsid w:val="00EB6BE3"/>
    <w:rsid w:val="00EB6DD9"/>
    <w:rsid w:val="00EB7239"/>
    <w:rsid w:val="00EC0BA3"/>
    <w:rsid w:val="00EC0CD9"/>
    <w:rsid w:val="00EC0F45"/>
    <w:rsid w:val="00EC119D"/>
    <w:rsid w:val="00EC1228"/>
    <w:rsid w:val="00EC1731"/>
    <w:rsid w:val="00EC1790"/>
    <w:rsid w:val="00EC27C6"/>
    <w:rsid w:val="00EC2CC7"/>
    <w:rsid w:val="00EC334C"/>
    <w:rsid w:val="00EC3EF9"/>
    <w:rsid w:val="00EC4007"/>
    <w:rsid w:val="00EC4207"/>
    <w:rsid w:val="00EC4417"/>
    <w:rsid w:val="00EC5653"/>
    <w:rsid w:val="00EC5C81"/>
    <w:rsid w:val="00EC6043"/>
    <w:rsid w:val="00EC66AF"/>
    <w:rsid w:val="00EC6884"/>
    <w:rsid w:val="00EC69F9"/>
    <w:rsid w:val="00EC6A60"/>
    <w:rsid w:val="00EC6F79"/>
    <w:rsid w:val="00EC715F"/>
    <w:rsid w:val="00EC71CE"/>
    <w:rsid w:val="00ED1006"/>
    <w:rsid w:val="00ED1A65"/>
    <w:rsid w:val="00ED1FAC"/>
    <w:rsid w:val="00ED3079"/>
    <w:rsid w:val="00ED342B"/>
    <w:rsid w:val="00ED34AA"/>
    <w:rsid w:val="00ED389F"/>
    <w:rsid w:val="00ED3EE9"/>
    <w:rsid w:val="00ED462C"/>
    <w:rsid w:val="00ED4692"/>
    <w:rsid w:val="00ED4D15"/>
    <w:rsid w:val="00ED5495"/>
    <w:rsid w:val="00ED5775"/>
    <w:rsid w:val="00ED5DB4"/>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29B"/>
    <w:rsid w:val="00EE331C"/>
    <w:rsid w:val="00EE349F"/>
    <w:rsid w:val="00EE360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1A26"/>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632"/>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19A0"/>
    <w:rsid w:val="00F124DE"/>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158"/>
    <w:rsid w:val="00F20452"/>
    <w:rsid w:val="00F209B7"/>
    <w:rsid w:val="00F20C42"/>
    <w:rsid w:val="00F2310B"/>
    <w:rsid w:val="00F235D0"/>
    <w:rsid w:val="00F2365E"/>
    <w:rsid w:val="00F2376F"/>
    <w:rsid w:val="00F23D3F"/>
    <w:rsid w:val="00F243D8"/>
    <w:rsid w:val="00F2511B"/>
    <w:rsid w:val="00F257F2"/>
    <w:rsid w:val="00F258D5"/>
    <w:rsid w:val="00F259B6"/>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483"/>
    <w:rsid w:val="00F33B94"/>
    <w:rsid w:val="00F341D2"/>
    <w:rsid w:val="00F34310"/>
    <w:rsid w:val="00F34AB6"/>
    <w:rsid w:val="00F34AEF"/>
    <w:rsid w:val="00F34C8D"/>
    <w:rsid w:val="00F359F6"/>
    <w:rsid w:val="00F35E2F"/>
    <w:rsid w:val="00F35E66"/>
    <w:rsid w:val="00F36258"/>
    <w:rsid w:val="00F36429"/>
    <w:rsid w:val="00F3668A"/>
    <w:rsid w:val="00F36739"/>
    <w:rsid w:val="00F36C46"/>
    <w:rsid w:val="00F36CCB"/>
    <w:rsid w:val="00F379E4"/>
    <w:rsid w:val="00F37E31"/>
    <w:rsid w:val="00F37FE7"/>
    <w:rsid w:val="00F40195"/>
    <w:rsid w:val="00F401FF"/>
    <w:rsid w:val="00F405EF"/>
    <w:rsid w:val="00F40A5A"/>
    <w:rsid w:val="00F40CDA"/>
    <w:rsid w:val="00F40F0C"/>
    <w:rsid w:val="00F41110"/>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0E4F"/>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0B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3A"/>
    <w:rsid w:val="00F76ECD"/>
    <w:rsid w:val="00F76EFA"/>
    <w:rsid w:val="00F775A2"/>
    <w:rsid w:val="00F77776"/>
    <w:rsid w:val="00F77793"/>
    <w:rsid w:val="00F803EA"/>
    <w:rsid w:val="00F804BE"/>
    <w:rsid w:val="00F80630"/>
    <w:rsid w:val="00F80817"/>
    <w:rsid w:val="00F814E2"/>
    <w:rsid w:val="00F815BB"/>
    <w:rsid w:val="00F817CE"/>
    <w:rsid w:val="00F81D26"/>
    <w:rsid w:val="00F831D2"/>
    <w:rsid w:val="00F833E0"/>
    <w:rsid w:val="00F83CB2"/>
    <w:rsid w:val="00F83E13"/>
    <w:rsid w:val="00F8456C"/>
    <w:rsid w:val="00F849CA"/>
    <w:rsid w:val="00F859D8"/>
    <w:rsid w:val="00F8640D"/>
    <w:rsid w:val="00F868F5"/>
    <w:rsid w:val="00F87E73"/>
    <w:rsid w:val="00F87FC1"/>
    <w:rsid w:val="00F9056A"/>
    <w:rsid w:val="00F90749"/>
    <w:rsid w:val="00F9082E"/>
    <w:rsid w:val="00F90D29"/>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6F7C"/>
    <w:rsid w:val="00F97838"/>
    <w:rsid w:val="00F97E32"/>
    <w:rsid w:val="00FA0C9A"/>
    <w:rsid w:val="00FA0D02"/>
    <w:rsid w:val="00FA100C"/>
    <w:rsid w:val="00FA14F3"/>
    <w:rsid w:val="00FA19CC"/>
    <w:rsid w:val="00FA1A4A"/>
    <w:rsid w:val="00FA2A0C"/>
    <w:rsid w:val="00FA2BB3"/>
    <w:rsid w:val="00FA3AAF"/>
    <w:rsid w:val="00FA42BB"/>
    <w:rsid w:val="00FA4739"/>
    <w:rsid w:val="00FA4902"/>
    <w:rsid w:val="00FA4E48"/>
    <w:rsid w:val="00FA5295"/>
    <w:rsid w:val="00FA56F6"/>
    <w:rsid w:val="00FA582A"/>
    <w:rsid w:val="00FA5911"/>
    <w:rsid w:val="00FA5A10"/>
    <w:rsid w:val="00FA5EE8"/>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8E"/>
    <w:rsid w:val="00FC046F"/>
    <w:rsid w:val="00FC0B5C"/>
    <w:rsid w:val="00FC0D26"/>
    <w:rsid w:val="00FC13A2"/>
    <w:rsid w:val="00FC14FF"/>
    <w:rsid w:val="00FC2487"/>
    <w:rsid w:val="00FC3558"/>
    <w:rsid w:val="00FC3D1E"/>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8A1"/>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8C"/>
    <w:rsid w:val="00FD40C5"/>
    <w:rsid w:val="00FD4732"/>
    <w:rsid w:val="00FD47ED"/>
    <w:rsid w:val="00FD4E90"/>
    <w:rsid w:val="00FD4F1F"/>
    <w:rsid w:val="00FD4F47"/>
    <w:rsid w:val="00FD631A"/>
    <w:rsid w:val="00FD646E"/>
    <w:rsid w:val="00FD662F"/>
    <w:rsid w:val="00FD6B52"/>
    <w:rsid w:val="00FD6BD5"/>
    <w:rsid w:val="00FD74DB"/>
    <w:rsid w:val="00FD7660"/>
    <w:rsid w:val="00FD76B4"/>
    <w:rsid w:val="00FD79C6"/>
    <w:rsid w:val="00FE0553"/>
    <w:rsid w:val="00FE0655"/>
    <w:rsid w:val="00FE0ADA"/>
    <w:rsid w:val="00FE0B24"/>
    <w:rsid w:val="00FE1BEC"/>
    <w:rsid w:val="00FE20E7"/>
    <w:rsid w:val="00FE2118"/>
    <w:rsid w:val="00FE2365"/>
    <w:rsid w:val="00FE34DE"/>
    <w:rsid w:val="00FE44CE"/>
    <w:rsid w:val="00FE45BC"/>
    <w:rsid w:val="00FE467B"/>
    <w:rsid w:val="00FE468D"/>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1D6F"/>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43C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tabs>
        <w:tab w:val="clear" w:pos="2664"/>
        <w:tab w:val="num" w:pos="864"/>
      </w:tabs>
      <w:ind w:left="864"/>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BE43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3C6"/>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qFormat/>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link w:val="B10"/>
    <w:uiPriority w:val="99"/>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 w:type="paragraph" w:customStyle="1" w:styleId="NumberedParagraph">
    <w:name w:val="Numbered Paragraph"/>
    <w:basedOn w:val="Normal"/>
    <w:rsid w:val="00887D99"/>
    <w:pPr>
      <w:numPr>
        <w:numId w:val="14"/>
      </w:numPr>
      <w:spacing w:after="0" w:line="480" w:lineRule="auto"/>
    </w:pPr>
    <w:rPr>
      <w:rFonts w:ascii="Arial" w:eastAsia="Times New Roman" w:hAnsi="Arial" w:cs="Arial"/>
      <w:szCs w:val="24"/>
    </w:rPr>
  </w:style>
  <w:style w:type="table" w:customStyle="1" w:styleId="TableGrid10">
    <w:name w:val="Table Grid1"/>
    <w:basedOn w:val="TableNormal"/>
    <w:next w:val="TableGrid"/>
    <w:rsid w:val="00270039"/>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3636"/>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539">
      <w:bodyDiv w:val="1"/>
      <w:marLeft w:val="0"/>
      <w:marRight w:val="0"/>
      <w:marTop w:val="0"/>
      <w:marBottom w:val="0"/>
      <w:divBdr>
        <w:top w:val="none" w:sz="0" w:space="0" w:color="auto"/>
        <w:left w:val="none" w:sz="0" w:space="0" w:color="auto"/>
        <w:bottom w:val="none" w:sz="0" w:space="0" w:color="auto"/>
        <w:right w:val="none" w:sz="0" w:space="0" w:color="auto"/>
      </w:divBdr>
      <w:divsChild>
        <w:div w:id="37633987">
          <w:marLeft w:val="360"/>
          <w:marRight w:val="0"/>
          <w:marTop w:val="200"/>
          <w:marBottom w:val="0"/>
          <w:divBdr>
            <w:top w:val="none" w:sz="0" w:space="0" w:color="auto"/>
            <w:left w:val="none" w:sz="0" w:space="0" w:color="auto"/>
            <w:bottom w:val="none" w:sz="0" w:space="0" w:color="auto"/>
            <w:right w:val="none" w:sz="0" w:space="0" w:color="auto"/>
          </w:divBdr>
        </w:div>
        <w:div w:id="1751538954">
          <w:marLeft w:val="1080"/>
          <w:marRight w:val="0"/>
          <w:marTop w:val="100"/>
          <w:marBottom w:val="0"/>
          <w:divBdr>
            <w:top w:val="none" w:sz="0" w:space="0" w:color="auto"/>
            <w:left w:val="none" w:sz="0" w:space="0" w:color="auto"/>
            <w:bottom w:val="none" w:sz="0" w:space="0" w:color="auto"/>
            <w:right w:val="none" w:sz="0" w:space="0" w:color="auto"/>
          </w:divBdr>
        </w:div>
        <w:div w:id="437600907">
          <w:marLeft w:val="360"/>
          <w:marRight w:val="0"/>
          <w:marTop w:val="200"/>
          <w:marBottom w:val="0"/>
          <w:divBdr>
            <w:top w:val="none" w:sz="0" w:space="0" w:color="auto"/>
            <w:left w:val="none" w:sz="0" w:space="0" w:color="auto"/>
            <w:bottom w:val="none" w:sz="0" w:space="0" w:color="auto"/>
            <w:right w:val="none" w:sz="0" w:space="0" w:color="auto"/>
          </w:divBdr>
        </w:div>
        <w:div w:id="461264785">
          <w:marLeft w:val="1080"/>
          <w:marRight w:val="0"/>
          <w:marTop w:val="100"/>
          <w:marBottom w:val="0"/>
          <w:divBdr>
            <w:top w:val="none" w:sz="0" w:space="0" w:color="auto"/>
            <w:left w:val="none" w:sz="0" w:space="0" w:color="auto"/>
            <w:bottom w:val="none" w:sz="0" w:space="0" w:color="auto"/>
            <w:right w:val="none" w:sz="0" w:space="0" w:color="auto"/>
          </w:divBdr>
        </w:div>
        <w:div w:id="257100651">
          <w:marLeft w:val="1080"/>
          <w:marRight w:val="0"/>
          <w:marTop w:val="100"/>
          <w:marBottom w:val="0"/>
          <w:divBdr>
            <w:top w:val="none" w:sz="0" w:space="0" w:color="auto"/>
            <w:left w:val="none" w:sz="0" w:space="0" w:color="auto"/>
            <w:bottom w:val="none" w:sz="0" w:space="0" w:color="auto"/>
            <w:right w:val="none" w:sz="0" w:space="0" w:color="auto"/>
          </w:divBdr>
        </w:div>
        <w:div w:id="413933997">
          <w:marLeft w:val="360"/>
          <w:marRight w:val="0"/>
          <w:marTop w:val="200"/>
          <w:marBottom w:val="0"/>
          <w:divBdr>
            <w:top w:val="none" w:sz="0" w:space="0" w:color="auto"/>
            <w:left w:val="none" w:sz="0" w:space="0" w:color="auto"/>
            <w:bottom w:val="none" w:sz="0" w:space="0" w:color="auto"/>
            <w:right w:val="none" w:sz="0" w:space="0" w:color="auto"/>
          </w:divBdr>
        </w:div>
        <w:div w:id="368919549">
          <w:marLeft w:val="1080"/>
          <w:marRight w:val="0"/>
          <w:marTop w:val="100"/>
          <w:marBottom w:val="0"/>
          <w:divBdr>
            <w:top w:val="none" w:sz="0" w:space="0" w:color="auto"/>
            <w:left w:val="none" w:sz="0" w:space="0" w:color="auto"/>
            <w:bottom w:val="none" w:sz="0" w:space="0" w:color="auto"/>
            <w:right w:val="none" w:sz="0" w:space="0" w:color="auto"/>
          </w:divBdr>
        </w:div>
        <w:div w:id="933830720">
          <w:marLeft w:val="1080"/>
          <w:marRight w:val="0"/>
          <w:marTop w:val="100"/>
          <w:marBottom w:val="0"/>
          <w:divBdr>
            <w:top w:val="none" w:sz="0" w:space="0" w:color="auto"/>
            <w:left w:val="none" w:sz="0" w:space="0" w:color="auto"/>
            <w:bottom w:val="none" w:sz="0" w:space="0" w:color="auto"/>
            <w:right w:val="none" w:sz="0" w:space="0" w:color="auto"/>
          </w:divBdr>
        </w:div>
        <w:div w:id="287972493">
          <w:marLeft w:val="1080"/>
          <w:marRight w:val="0"/>
          <w:marTop w:val="100"/>
          <w:marBottom w:val="0"/>
          <w:divBdr>
            <w:top w:val="none" w:sz="0" w:space="0" w:color="auto"/>
            <w:left w:val="none" w:sz="0" w:space="0" w:color="auto"/>
            <w:bottom w:val="none" w:sz="0" w:space="0" w:color="auto"/>
            <w:right w:val="none" w:sz="0" w:space="0" w:color="auto"/>
          </w:divBdr>
        </w:div>
        <w:div w:id="1912276425">
          <w:marLeft w:val="1080"/>
          <w:marRight w:val="0"/>
          <w:marTop w:val="100"/>
          <w:marBottom w:val="0"/>
          <w:divBdr>
            <w:top w:val="none" w:sz="0" w:space="0" w:color="auto"/>
            <w:left w:val="none" w:sz="0" w:space="0" w:color="auto"/>
            <w:bottom w:val="none" w:sz="0" w:space="0" w:color="auto"/>
            <w:right w:val="none" w:sz="0" w:space="0" w:color="auto"/>
          </w:divBdr>
        </w:div>
      </w:divsChild>
    </w:div>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488330501">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551696687">
      <w:bodyDiv w:val="1"/>
      <w:marLeft w:val="0"/>
      <w:marRight w:val="0"/>
      <w:marTop w:val="0"/>
      <w:marBottom w:val="0"/>
      <w:divBdr>
        <w:top w:val="none" w:sz="0" w:space="0" w:color="auto"/>
        <w:left w:val="none" w:sz="0" w:space="0" w:color="auto"/>
        <w:bottom w:val="none" w:sz="0" w:space="0" w:color="auto"/>
        <w:right w:val="none" w:sz="0" w:space="0" w:color="auto"/>
      </w:divBdr>
    </w:div>
    <w:div w:id="559482231">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0049">
      <w:bodyDiv w:val="1"/>
      <w:marLeft w:val="0"/>
      <w:marRight w:val="0"/>
      <w:marTop w:val="0"/>
      <w:marBottom w:val="0"/>
      <w:divBdr>
        <w:top w:val="none" w:sz="0" w:space="0" w:color="auto"/>
        <w:left w:val="none" w:sz="0" w:space="0" w:color="auto"/>
        <w:bottom w:val="none" w:sz="0" w:space="0" w:color="auto"/>
        <w:right w:val="none" w:sz="0" w:space="0" w:color="auto"/>
      </w:divBdr>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771822679">
      <w:bodyDiv w:val="1"/>
      <w:marLeft w:val="0"/>
      <w:marRight w:val="0"/>
      <w:marTop w:val="0"/>
      <w:marBottom w:val="0"/>
      <w:divBdr>
        <w:top w:val="none" w:sz="0" w:space="0" w:color="auto"/>
        <w:left w:val="none" w:sz="0" w:space="0" w:color="auto"/>
        <w:bottom w:val="none" w:sz="0" w:space="0" w:color="auto"/>
        <w:right w:val="none" w:sz="0" w:space="0" w:color="auto"/>
      </w:divBdr>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37619337">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167593378">
      <w:bodyDiv w:val="1"/>
      <w:marLeft w:val="0"/>
      <w:marRight w:val="0"/>
      <w:marTop w:val="0"/>
      <w:marBottom w:val="0"/>
      <w:divBdr>
        <w:top w:val="none" w:sz="0" w:space="0" w:color="auto"/>
        <w:left w:val="none" w:sz="0" w:space="0" w:color="auto"/>
        <w:bottom w:val="none" w:sz="0" w:space="0" w:color="auto"/>
        <w:right w:val="none" w:sz="0" w:space="0" w:color="auto"/>
      </w:divBdr>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sChild>
        <w:div w:id="1073892909">
          <w:marLeft w:val="360"/>
          <w:marRight w:val="0"/>
          <w:marTop w:val="200"/>
          <w:marBottom w:val="0"/>
          <w:divBdr>
            <w:top w:val="none" w:sz="0" w:space="0" w:color="auto"/>
            <w:left w:val="none" w:sz="0" w:space="0" w:color="auto"/>
            <w:bottom w:val="none" w:sz="0" w:space="0" w:color="auto"/>
            <w:right w:val="none" w:sz="0" w:space="0" w:color="auto"/>
          </w:divBdr>
        </w:div>
        <w:div w:id="1696882435">
          <w:marLeft w:val="1080"/>
          <w:marRight w:val="0"/>
          <w:marTop w:val="100"/>
          <w:marBottom w:val="0"/>
          <w:divBdr>
            <w:top w:val="none" w:sz="0" w:space="0" w:color="auto"/>
            <w:left w:val="none" w:sz="0" w:space="0" w:color="auto"/>
            <w:bottom w:val="none" w:sz="0" w:space="0" w:color="auto"/>
            <w:right w:val="none" w:sz="0" w:space="0" w:color="auto"/>
          </w:divBdr>
        </w:div>
        <w:div w:id="1523855098">
          <w:marLeft w:val="1080"/>
          <w:marRight w:val="0"/>
          <w:marTop w:val="100"/>
          <w:marBottom w:val="0"/>
          <w:divBdr>
            <w:top w:val="none" w:sz="0" w:space="0" w:color="auto"/>
            <w:left w:val="none" w:sz="0" w:space="0" w:color="auto"/>
            <w:bottom w:val="none" w:sz="0" w:space="0" w:color="auto"/>
            <w:right w:val="none" w:sz="0" w:space="0" w:color="auto"/>
          </w:divBdr>
        </w:div>
        <w:div w:id="612786770">
          <w:marLeft w:val="360"/>
          <w:marRight w:val="0"/>
          <w:marTop w:val="200"/>
          <w:marBottom w:val="0"/>
          <w:divBdr>
            <w:top w:val="none" w:sz="0" w:space="0" w:color="auto"/>
            <w:left w:val="none" w:sz="0" w:space="0" w:color="auto"/>
            <w:bottom w:val="none" w:sz="0" w:space="0" w:color="auto"/>
            <w:right w:val="none" w:sz="0" w:space="0" w:color="auto"/>
          </w:divBdr>
        </w:div>
        <w:div w:id="1505632691">
          <w:marLeft w:val="1080"/>
          <w:marRight w:val="0"/>
          <w:marTop w:val="100"/>
          <w:marBottom w:val="0"/>
          <w:divBdr>
            <w:top w:val="none" w:sz="0" w:space="0" w:color="auto"/>
            <w:left w:val="none" w:sz="0" w:space="0" w:color="auto"/>
            <w:bottom w:val="none" w:sz="0" w:space="0" w:color="auto"/>
            <w:right w:val="none" w:sz="0" w:space="0" w:color="auto"/>
          </w:divBdr>
        </w:div>
        <w:div w:id="1734893396">
          <w:marLeft w:val="360"/>
          <w:marRight w:val="0"/>
          <w:marTop w:val="200"/>
          <w:marBottom w:val="0"/>
          <w:divBdr>
            <w:top w:val="none" w:sz="0" w:space="0" w:color="auto"/>
            <w:left w:val="none" w:sz="0" w:space="0" w:color="auto"/>
            <w:bottom w:val="none" w:sz="0" w:space="0" w:color="auto"/>
            <w:right w:val="none" w:sz="0" w:space="0" w:color="auto"/>
          </w:divBdr>
        </w:div>
        <w:div w:id="563830581">
          <w:marLeft w:val="1080"/>
          <w:marRight w:val="0"/>
          <w:marTop w:val="100"/>
          <w:marBottom w:val="0"/>
          <w:divBdr>
            <w:top w:val="none" w:sz="0" w:space="0" w:color="auto"/>
            <w:left w:val="none" w:sz="0" w:space="0" w:color="auto"/>
            <w:bottom w:val="none" w:sz="0" w:space="0" w:color="auto"/>
            <w:right w:val="none" w:sz="0" w:space="0" w:color="auto"/>
          </w:divBdr>
        </w:div>
        <w:div w:id="98917096">
          <w:marLeft w:val="1080"/>
          <w:marRight w:val="0"/>
          <w:marTop w:val="100"/>
          <w:marBottom w:val="0"/>
          <w:divBdr>
            <w:top w:val="none" w:sz="0" w:space="0" w:color="auto"/>
            <w:left w:val="none" w:sz="0" w:space="0" w:color="auto"/>
            <w:bottom w:val="none" w:sz="0" w:space="0" w:color="auto"/>
            <w:right w:val="none" w:sz="0" w:space="0" w:color="auto"/>
          </w:divBdr>
        </w:div>
        <w:div w:id="1248687081">
          <w:marLeft w:val="1080"/>
          <w:marRight w:val="0"/>
          <w:marTop w:val="100"/>
          <w:marBottom w:val="0"/>
          <w:divBdr>
            <w:top w:val="none" w:sz="0" w:space="0" w:color="auto"/>
            <w:left w:val="none" w:sz="0" w:space="0" w:color="auto"/>
            <w:bottom w:val="none" w:sz="0" w:space="0" w:color="auto"/>
            <w:right w:val="none" w:sz="0" w:space="0" w:color="auto"/>
          </w:divBdr>
        </w:div>
        <w:div w:id="20206718">
          <w:marLeft w:val="360"/>
          <w:marRight w:val="0"/>
          <w:marTop w:val="200"/>
          <w:marBottom w:val="0"/>
          <w:divBdr>
            <w:top w:val="none" w:sz="0" w:space="0" w:color="auto"/>
            <w:left w:val="none" w:sz="0" w:space="0" w:color="auto"/>
            <w:bottom w:val="none" w:sz="0" w:space="0" w:color="auto"/>
            <w:right w:val="none" w:sz="0" w:space="0" w:color="auto"/>
          </w:divBdr>
        </w:div>
        <w:div w:id="799956341">
          <w:marLeft w:val="360"/>
          <w:marRight w:val="0"/>
          <w:marTop w:val="200"/>
          <w:marBottom w:val="0"/>
          <w:divBdr>
            <w:top w:val="none" w:sz="0" w:space="0" w:color="auto"/>
            <w:left w:val="none" w:sz="0" w:space="0" w:color="auto"/>
            <w:bottom w:val="none" w:sz="0" w:space="0" w:color="auto"/>
            <w:right w:val="none" w:sz="0" w:space="0" w:color="auto"/>
          </w:divBdr>
        </w:div>
        <w:div w:id="1806778652">
          <w:marLeft w:val="360"/>
          <w:marRight w:val="0"/>
          <w:marTop w:val="200"/>
          <w:marBottom w:val="0"/>
          <w:divBdr>
            <w:top w:val="none" w:sz="0" w:space="0" w:color="auto"/>
            <w:left w:val="none" w:sz="0" w:space="0" w:color="auto"/>
            <w:bottom w:val="none" w:sz="0" w:space="0" w:color="auto"/>
            <w:right w:val="none" w:sz="0" w:space="0" w:color="auto"/>
          </w:divBdr>
        </w:div>
        <w:div w:id="1209295411">
          <w:marLeft w:val="360"/>
          <w:marRight w:val="0"/>
          <w:marTop w:val="200"/>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070959111">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 w:id="21427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9EB06-E728-4653-9E4D-4231FB8DE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3929</Words>
  <Characters>22399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2018-03-23T09:12:00Z</dcterms:created>
  <dcterms:modified xsi:type="dcterms:W3CDTF">2018-04-06T11:34:00Z</dcterms:modified>
</cp:coreProperties>
</file>